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50" w:type="dxa"/>
        <w:jc w:val="center"/>
        <w:tblCellMar>
          <w:left w:w="0" w:type="dxa"/>
          <w:right w:w="0" w:type="dxa"/>
        </w:tblCellMar>
        <w:tblLook w:val="04A0" w:firstRow="1" w:lastRow="0" w:firstColumn="1" w:lastColumn="0" w:noHBand="0" w:noVBand="1"/>
      </w:tblPr>
      <w:tblGrid>
        <w:gridCol w:w="6225"/>
        <w:gridCol w:w="6225"/>
      </w:tblGrid>
      <w:tr w:rsidR="00811975" w:rsidRPr="00811975" w14:paraId="0D75CF8F" w14:textId="77777777" w:rsidTr="00FA1F6D">
        <w:trPr>
          <w:gridAfter w:val="1"/>
          <w:jc w:val="center"/>
        </w:trPr>
        <w:tc>
          <w:tcPr>
            <w:tcW w:w="0" w:type="auto"/>
            <w:vAlign w:val="center"/>
          </w:tcPr>
          <w:p w14:paraId="29ED3E25" w14:textId="6B005CF3" w:rsidR="00811975" w:rsidRPr="00811975" w:rsidRDefault="00811975" w:rsidP="00811975">
            <w:pPr>
              <w:widowControl/>
              <w:jc w:val="center"/>
              <w:rPr>
                <w:rFonts w:ascii="宋体" w:eastAsia="宋体" w:hAnsi="宋体" w:cs="宋体"/>
                <w:kern w:val="0"/>
                <w:sz w:val="24"/>
                <w:szCs w:val="24"/>
              </w:rPr>
            </w:pPr>
          </w:p>
        </w:tc>
      </w:tr>
      <w:tr w:rsidR="00811975" w:rsidRPr="00811975" w14:paraId="4157290F" w14:textId="77777777" w:rsidTr="00811975">
        <w:tblPrEx>
          <w:jc w:val="left"/>
        </w:tblPrEx>
        <w:tc>
          <w:tcPr>
            <w:tcW w:w="0" w:type="auto"/>
            <w:vAlign w:val="center"/>
            <w:hideMark/>
          </w:tcPr>
          <w:p w14:paraId="7BA86AAD" w14:textId="55487ACD" w:rsidR="00811975" w:rsidRPr="00811975" w:rsidRDefault="00811975" w:rsidP="00811975">
            <w:pPr>
              <w:widowControl/>
              <w:jc w:val="center"/>
              <w:rPr>
                <w:rFonts w:ascii="宋体" w:eastAsia="宋体" w:hAnsi="宋体" w:cs="宋体"/>
                <w:kern w:val="0"/>
                <w:sz w:val="24"/>
                <w:szCs w:val="24"/>
              </w:rPr>
            </w:pPr>
          </w:p>
        </w:tc>
        <w:tc>
          <w:tcPr>
            <w:tcW w:w="0" w:type="auto"/>
            <w:vAlign w:val="center"/>
          </w:tcPr>
          <w:p w14:paraId="071164DD" w14:textId="47791C27" w:rsidR="00811975" w:rsidRPr="00811975" w:rsidRDefault="00811975" w:rsidP="00811975">
            <w:pPr>
              <w:widowControl/>
              <w:jc w:val="center"/>
              <w:rPr>
                <w:rFonts w:ascii="宋体" w:eastAsia="宋体" w:hAnsi="宋体" w:cs="宋体"/>
                <w:kern w:val="0"/>
                <w:sz w:val="24"/>
                <w:szCs w:val="24"/>
              </w:rPr>
            </w:pPr>
          </w:p>
        </w:tc>
      </w:tr>
    </w:tbl>
    <w:p w14:paraId="47CEF5D2"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69B95D2B" w14:textId="77777777" w:rsidR="00811975" w:rsidRPr="00811975" w:rsidRDefault="00811975" w:rsidP="00811975">
      <w:pPr>
        <w:widowControl/>
        <w:spacing w:before="100" w:beforeAutospacing="1" w:line="605" w:lineRule="atLeast"/>
        <w:jc w:val="center"/>
        <w:rPr>
          <w:rFonts w:ascii="Microsoft Yahei" w:eastAsia="宋体" w:hAnsi="Microsoft Yahei" w:cs="宋体" w:hint="eastAsia"/>
          <w:color w:val="666666"/>
          <w:kern w:val="0"/>
          <w:szCs w:val="21"/>
        </w:rPr>
      </w:pPr>
      <w:r w:rsidRPr="00811975">
        <w:rPr>
          <w:rFonts w:ascii="方正小标宋简体" w:eastAsia="方正小标宋简体" w:hAnsi="Microsoft Yahei" w:cs="宋体" w:hint="eastAsia"/>
          <w:color w:val="000000"/>
          <w:kern w:val="0"/>
          <w:sz w:val="44"/>
          <w:szCs w:val="44"/>
        </w:rPr>
        <w:t>关于印发</w:t>
      </w:r>
      <w:proofErr w:type="gramStart"/>
      <w:r w:rsidRPr="00811975">
        <w:rPr>
          <w:rFonts w:ascii="方正小标宋简体" w:eastAsia="方正小标宋简体" w:hAnsi="Microsoft Yahei" w:cs="宋体" w:hint="eastAsia"/>
          <w:color w:val="000000"/>
          <w:kern w:val="0"/>
          <w:sz w:val="44"/>
          <w:szCs w:val="44"/>
        </w:rPr>
        <w:t>《</w:t>
      </w:r>
      <w:proofErr w:type="gramEnd"/>
      <w:r w:rsidRPr="00811975">
        <w:rPr>
          <w:rFonts w:ascii="方正小标宋简体" w:eastAsia="方正小标宋简体" w:hAnsi="Microsoft Yahei" w:cs="宋体" w:hint="eastAsia"/>
          <w:color w:val="000000"/>
          <w:kern w:val="0"/>
          <w:sz w:val="44"/>
          <w:szCs w:val="44"/>
        </w:rPr>
        <w:t>福</w:t>
      </w:r>
      <w:bookmarkStart w:id="0" w:name="_GoBack"/>
      <w:bookmarkEnd w:id="0"/>
      <w:r w:rsidRPr="00811975">
        <w:rPr>
          <w:rFonts w:ascii="方正小标宋简体" w:eastAsia="方正小标宋简体" w:hAnsi="Microsoft Yahei" w:cs="宋体" w:hint="eastAsia"/>
          <w:color w:val="000000"/>
          <w:kern w:val="0"/>
          <w:sz w:val="44"/>
          <w:szCs w:val="44"/>
        </w:rPr>
        <w:t>建师范大学博士硕士学位</w:t>
      </w:r>
    </w:p>
    <w:p w14:paraId="07381956" w14:textId="77777777" w:rsidR="00811975" w:rsidRPr="00811975" w:rsidRDefault="00811975" w:rsidP="00811975">
      <w:pPr>
        <w:widowControl/>
        <w:spacing w:before="100" w:beforeAutospacing="1" w:line="605" w:lineRule="atLeast"/>
        <w:jc w:val="center"/>
        <w:rPr>
          <w:rFonts w:ascii="Microsoft Yahei" w:eastAsia="宋体" w:hAnsi="Microsoft Yahei" w:cs="宋体" w:hint="eastAsia"/>
          <w:color w:val="666666"/>
          <w:kern w:val="0"/>
          <w:szCs w:val="21"/>
        </w:rPr>
      </w:pPr>
      <w:r w:rsidRPr="00811975">
        <w:rPr>
          <w:rFonts w:ascii="方正小标宋简体" w:eastAsia="方正小标宋简体" w:hAnsi="Microsoft Yahei" w:cs="宋体" w:hint="eastAsia"/>
          <w:color w:val="000000"/>
          <w:kern w:val="0"/>
          <w:sz w:val="44"/>
          <w:szCs w:val="44"/>
        </w:rPr>
        <w:t>论文答辩工作规定（修订）</w:t>
      </w:r>
      <w:proofErr w:type="gramStart"/>
      <w:r w:rsidRPr="00811975">
        <w:rPr>
          <w:rFonts w:ascii="方正小标宋简体" w:eastAsia="方正小标宋简体" w:hAnsi="Microsoft Yahei" w:cs="宋体" w:hint="eastAsia"/>
          <w:color w:val="000000"/>
          <w:kern w:val="0"/>
          <w:sz w:val="44"/>
          <w:szCs w:val="44"/>
        </w:rPr>
        <w:t>》</w:t>
      </w:r>
      <w:proofErr w:type="gramEnd"/>
      <w:r w:rsidRPr="00811975">
        <w:rPr>
          <w:rFonts w:ascii="方正小标宋简体" w:eastAsia="方正小标宋简体" w:hAnsi="Microsoft Yahei" w:cs="宋体" w:hint="eastAsia"/>
          <w:color w:val="000000"/>
          <w:kern w:val="0"/>
          <w:sz w:val="44"/>
          <w:szCs w:val="44"/>
        </w:rPr>
        <w:t>的通知</w:t>
      </w:r>
    </w:p>
    <w:p w14:paraId="0E309C23" w14:textId="589BDC85" w:rsidR="00811975" w:rsidRPr="00FA1F6D" w:rsidRDefault="00FA1F6D" w:rsidP="00811975">
      <w:pPr>
        <w:widowControl/>
        <w:spacing w:before="100" w:beforeAutospacing="1" w:after="100" w:afterAutospacing="1"/>
        <w:jc w:val="center"/>
        <w:rPr>
          <w:rFonts w:ascii="Microsoft Yahei" w:eastAsia="宋体" w:hAnsi="Microsoft Yahei" w:cs="宋体" w:hint="eastAsia"/>
          <w:b/>
          <w:color w:val="666666"/>
          <w:kern w:val="0"/>
          <w:szCs w:val="21"/>
        </w:rPr>
      </w:pPr>
      <w:bookmarkStart w:id="1" w:name="文件编号"/>
      <w:bookmarkEnd w:id="1"/>
      <w:r w:rsidRPr="00811975">
        <w:rPr>
          <w:rFonts w:ascii="宋体" w:eastAsia="宋体" w:hAnsi="宋体" w:cs="宋体"/>
          <w:kern w:val="0"/>
          <w:sz w:val="24"/>
          <w:szCs w:val="24"/>
        </w:rPr>
        <w:t>发布时间:2020-01-23</w:t>
      </w:r>
    </w:p>
    <w:p w14:paraId="79E29E6A" w14:textId="77777777" w:rsidR="00811975" w:rsidRPr="00811975" w:rsidRDefault="00811975" w:rsidP="00811975">
      <w:pPr>
        <w:widowControl/>
        <w:spacing w:before="100" w:beforeAutospacing="1" w:after="100" w:afterAutospacing="1"/>
        <w:jc w:val="center"/>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闽师</w:t>
      </w:r>
      <w:proofErr w:type="gramStart"/>
      <w:r w:rsidRPr="00811975">
        <w:rPr>
          <w:rFonts w:ascii="仿宋_GB2312" w:eastAsia="仿宋_GB2312" w:hAnsi="Microsoft Yahei" w:cs="宋体" w:hint="eastAsia"/>
          <w:color w:val="000000"/>
          <w:kern w:val="0"/>
          <w:sz w:val="32"/>
          <w:szCs w:val="32"/>
        </w:rPr>
        <w:t>研</w:t>
      </w:r>
      <w:proofErr w:type="gramEnd"/>
      <w:r w:rsidRPr="00811975">
        <w:rPr>
          <w:rFonts w:ascii="仿宋_GB2312" w:eastAsia="仿宋_GB2312" w:hAnsi="Microsoft Yahei" w:cs="宋体" w:hint="eastAsia"/>
          <w:color w:val="000000"/>
          <w:kern w:val="0"/>
          <w:sz w:val="32"/>
          <w:szCs w:val="32"/>
        </w:rPr>
        <w:t>〔2020〕3号</w:t>
      </w:r>
    </w:p>
    <w:p w14:paraId="05E42F17"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各有关单位：</w:t>
      </w:r>
    </w:p>
    <w:p w14:paraId="1DEF2C19" w14:textId="77777777" w:rsidR="00811975" w:rsidRPr="00811975" w:rsidRDefault="00811975" w:rsidP="00811975">
      <w:pPr>
        <w:widowControl/>
        <w:spacing w:before="100" w:beforeAutospacing="1" w:line="562"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经学校研究，现将《福建师范大学博士硕士学位论文答辩工作规定（修订）》印发给你们，请遵照执行。</w:t>
      </w:r>
    </w:p>
    <w:p w14:paraId="7B7B6B08" w14:textId="77777777" w:rsidR="00811975" w:rsidRPr="00811975" w:rsidRDefault="00811975" w:rsidP="00811975">
      <w:pPr>
        <w:widowControl/>
        <w:spacing w:before="100" w:beforeAutospacing="1" w:line="605" w:lineRule="atLeast"/>
        <w:ind w:right="1282" w:firstLine="5602"/>
        <w:jc w:val="center"/>
        <w:rPr>
          <w:rFonts w:ascii="Microsoft Yahei" w:eastAsia="宋体" w:hAnsi="Microsoft Yahei" w:cs="宋体" w:hint="eastAsia"/>
          <w:color w:val="666666"/>
          <w:kern w:val="0"/>
          <w:szCs w:val="21"/>
        </w:rPr>
      </w:pPr>
    </w:p>
    <w:p w14:paraId="48C61BB3" w14:textId="77777777" w:rsidR="00811975" w:rsidRPr="00811975" w:rsidRDefault="00811975" w:rsidP="00811975">
      <w:pPr>
        <w:widowControl/>
        <w:spacing w:before="100" w:beforeAutospacing="1" w:line="605" w:lineRule="atLeast"/>
        <w:ind w:right="1282" w:firstLine="5602"/>
        <w:jc w:val="center"/>
        <w:rPr>
          <w:rFonts w:ascii="Microsoft Yahei" w:eastAsia="宋体" w:hAnsi="Microsoft Yahei" w:cs="宋体" w:hint="eastAsia"/>
          <w:color w:val="666666"/>
          <w:kern w:val="0"/>
          <w:szCs w:val="21"/>
        </w:rPr>
      </w:pPr>
    </w:p>
    <w:p w14:paraId="73217D5D" w14:textId="77777777" w:rsidR="00811975" w:rsidRPr="00811975" w:rsidRDefault="00811975" w:rsidP="00811975">
      <w:pPr>
        <w:widowControl/>
        <w:spacing w:before="100" w:beforeAutospacing="1" w:line="605" w:lineRule="atLeast"/>
        <w:ind w:right="1282" w:firstLine="5602"/>
        <w:jc w:val="center"/>
        <w:rPr>
          <w:rFonts w:ascii="Microsoft Yahei" w:eastAsia="宋体" w:hAnsi="Microsoft Yahei" w:cs="宋体" w:hint="eastAsia"/>
          <w:color w:val="666666"/>
          <w:kern w:val="0"/>
          <w:szCs w:val="21"/>
        </w:rPr>
      </w:pPr>
    </w:p>
    <w:p w14:paraId="66D342BB" w14:textId="77777777" w:rsidR="00811975" w:rsidRPr="00811975" w:rsidRDefault="00811975" w:rsidP="00811975">
      <w:pPr>
        <w:widowControl/>
        <w:spacing w:before="100" w:beforeAutospacing="1" w:line="605" w:lineRule="atLeast"/>
        <w:ind w:right="1282" w:firstLine="5602"/>
        <w:jc w:val="center"/>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福建师范大学</w:t>
      </w:r>
    </w:p>
    <w:p w14:paraId="51B3FA24" w14:textId="77777777" w:rsidR="00811975" w:rsidRPr="00811975" w:rsidRDefault="00811975" w:rsidP="00811975">
      <w:pPr>
        <w:widowControl/>
        <w:spacing w:before="100" w:beforeAutospacing="1" w:line="562" w:lineRule="atLeast"/>
        <w:ind w:right="1282" w:firstLine="634"/>
        <w:jc w:val="righ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2020年1月8日</w:t>
      </w:r>
    </w:p>
    <w:p w14:paraId="00901ABD" w14:textId="77777777" w:rsidR="00811975" w:rsidRPr="00811975" w:rsidRDefault="00811975" w:rsidP="00811975">
      <w:pPr>
        <w:widowControl/>
        <w:spacing w:before="100" w:beforeAutospacing="1" w:line="562" w:lineRule="atLeast"/>
        <w:ind w:firstLine="634"/>
        <w:jc w:val="right"/>
        <w:rPr>
          <w:rFonts w:ascii="Microsoft Yahei" w:eastAsia="宋体" w:hAnsi="Microsoft Yahei" w:cs="宋体" w:hint="eastAsia"/>
          <w:color w:val="666666"/>
          <w:kern w:val="0"/>
          <w:szCs w:val="21"/>
        </w:rPr>
      </w:pPr>
    </w:p>
    <w:p w14:paraId="335E681A" w14:textId="77777777" w:rsidR="00811975" w:rsidRPr="00811975" w:rsidRDefault="00811975" w:rsidP="00811975">
      <w:pPr>
        <w:widowControl/>
        <w:spacing w:before="100" w:beforeAutospacing="1" w:line="605" w:lineRule="atLeast"/>
        <w:ind w:firstLine="878"/>
        <w:jc w:val="center"/>
        <w:rPr>
          <w:rFonts w:ascii="Microsoft Yahei" w:eastAsia="宋体" w:hAnsi="Microsoft Yahei" w:cs="宋体" w:hint="eastAsia"/>
          <w:color w:val="666666"/>
          <w:kern w:val="0"/>
          <w:szCs w:val="21"/>
        </w:rPr>
      </w:pPr>
      <w:r w:rsidRPr="00811975">
        <w:rPr>
          <w:rFonts w:ascii="方正小标宋简体" w:eastAsia="方正小标宋简体" w:hAnsi="Microsoft Yahei" w:cs="宋体" w:hint="eastAsia"/>
          <w:color w:val="000000"/>
          <w:kern w:val="0"/>
          <w:sz w:val="44"/>
          <w:szCs w:val="44"/>
        </w:rPr>
        <w:lastRenderedPageBreak/>
        <w:t>福建师范大学博士硕士学位论文</w:t>
      </w:r>
    </w:p>
    <w:p w14:paraId="47CC8410" w14:textId="77777777" w:rsidR="00811975" w:rsidRPr="00811975" w:rsidRDefault="00811975" w:rsidP="00811975">
      <w:pPr>
        <w:widowControl/>
        <w:spacing w:before="100" w:beforeAutospacing="1" w:line="605" w:lineRule="atLeast"/>
        <w:ind w:firstLine="878"/>
        <w:jc w:val="center"/>
        <w:rPr>
          <w:rFonts w:ascii="Microsoft Yahei" w:eastAsia="宋体" w:hAnsi="Microsoft Yahei" w:cs="宋体" w:hint="eastAsia"/>
          <w:color w:val="666666"/>
          <w:kern w:val="0"/>
          <w:szCs w:val="21"/>
        </w:rPr>
      </w:pPr>
      <w:r w:rsidRPr="00811975">
        <w:rPr>
          <w:rFonts w:ascii="方正小标宋简体" w:eastAsia="方正小标宋简体" w:hAnsi="Microsoft Yahei" w:cs="宋体" w:hint="eastAsia"/>
          <w:color w:val="000000"/>
          <w:kern w:val="0"/>
          <w:sz w:val="44"/>
          <w:szCs w:val="44"/>
        </w:rPr>
        <w:t>答辩工作规定（修订）</w:t>
      </w:r>
    </w:p>
    <w:p w14:paraId="0BF33E42" w14:textId="77777777" w:rsidR="00811975" w:rsidRPr="00811975" w:rsidRDefault="00811975" w:rsidP="00811975">
      <w:pPr>
        <w:widowControl/>
        <w:spacing w:before="100" w:beforeAutospacing="1" w:line="562" w:lineRule="atLeast"/>
        <w:ind w:firstLine="634"/>
        <w:jc w:val="left"/>
        <w:rPr>
          <w:rFonts w:ascii="Microsoft Yahei" w:eastAsia="宋体" w:hAnsi="Microsoft Yahei" w:cs="宋体" w:hint="eastAsia"/>
          <w:color w:val="666666"/>
          <w:kern w:val="0"/>
          <w:szCs w:val="21"/>
        </w:rPr>
      </w:pPr>
    </w:p>
    <w:p w14:paraId="0DA81D15"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为进一步规范研究生学位论文答辩工作，提高学位授予质量，现对博士、硕士学位论文答辩工作规定如下：</w:t>
      </w:r>
    </w:p>
    <w:p w14:paraId="05705D77"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一、资格审查</w:t>
      </w:r>
    </w:p>
    <w:p w14:paraId="42BE3F80"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（一）申请学位者必须参加并通过资格审查。</w:t>
      </w:r>
    </w:p>
    <w:p w14:paraId="1796DDD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（二）申请学位者应根据当年工作通知的具体要求，在规定时间内提交有关材料进行当次申请学位的资格审查。</w:t>
      </w:r>
    </w:p>
    <w:p w14:paraId="11C9D18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宋体" w:cs="宋体" w:hint="eastAsia"/>
          <w:color w:val="000000"/>
          <w:kern w:val="0"/>
          <w:sz w:val="32"/>
          <w:szCs w:val="32"/>
        </w:rPr>
        <w:t>（三）资格</w:t>
      </w:r>
      <w:proofErr w:type="gramStart"/>
      <w:r w:rsidRPr="00811975">
        <w:rPr>
          <w:rFonts w:ascii="仿宋_GB2312" w:eastAsia="仿宋_GB2312" w:hAnsi="宋体" w:cs="宋体" w:hint="eastAsia"/>
          <w:color w:val="000000"/>
          <w:kern w:val="0"/>
          <w:sz w:val="32"/>
          <w:szCs w:val="32"/>
        </w:rPr>
        <w:t>审查分</w:t>
      </w:r>
      <w:proofErr w:type="gramEnd"/>
      <w:r w:rsidRPr="00811975">
        <w:rPr>
          <w:rFonts w:ascii="仿宋_GB2312" w:eastAsia="仿宋_GB2312" w:hAnsi="宋体" w:cs="宋体" w:hint="eastAsia"/>
          <w:color w:val="000000"/>
          <w:kern w:val="0"/>
          <w:sz w:val="32"/>
          <w:szCs w:val="32"/>
        </w:rPr>
        <w:t>两个阶段进行：一是由学院组织进行资格审查，审查合格名单在学院网页公示</w:t>
      </w:r>
      <w:r w:rsidRPr="00811975">
        <w:rPr>
          <w:rFonts w:ascii="仿宋_GB2312" w:eastAsia="仿宋_GB2312" w:hAnsi="Microsoft Yahei" w:cs="宋体" w:hint="eastAsia"/>
          <w:color w:val="000000"/>
          <w:kern w:val="0"/>
          <w:sz w:val="32"/>
          <w:szCs w:val="32"/>
        </w:rPr>
        <w:t>5天。二是由学校进行抽查，抽查比例不低于10%。</w:t>
      </w:r>
    </w:p>
    <w:p w14:paraId="06791AD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（四）资格审查结果合格者，方可进行学位论文文本复制比检测。</w:t>
      </w:r>
    </w:p>
    <w:p w14:paraId="6F0867C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二、学位论文文本复制比检测</w:t>
      </w:r>
    </w:p>
    <w:p w14:paraId="3083034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（一）申请博士、硕士学位的论文（含封面、摘要、正文、参考文献、致谢等部分）必须参加学校指定的系统检测。</w:t>
      </w:r>
    </w:p>
    <w:p w14:paraId="2D22AD77"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宋体" w:cs="宋体" w:hint="eastAsia"/>
          <w:color w:val="000000"/>
          <w:kern w:val="0"/>
          <w:sz w:val="32"/>
          <w:szCs w:val="32"/>
        </w:rPr>
        <w:lastRenderedPageBreak/>
        <w:t>（二）申请学位者应在规定时间内提交学位论文电子版等有关材料参加当次复制比检测。论文</w:t>
      </w:r>
      <w:proofErr w:type="gramStart"/>
      <w:r w:rsidRPr="00811975">
        <w:rPr>
          <w:rFonts w:ascii="仿宋_GB2312" w:eastAsia="仿宋_GB2312" w:hAnsi="宋体" w:cs="宋体" w:hint="eastAsia"/>
          <w:color w:val="000000"/>
          <w:kern w:val="0"/>
          <w:sz w:val="32"/>
          <w:szCs w:val="32"/>
        </w:rPr>
        <w:t>检测分</w:t>
      </w:r>
      <w:proofErr w:type="gramEnd"/>
      <w:r w:rsidRPr="00811975">
        <w:rPr>
          <w:rFonts w:ascii="仿宋_GB2312" w:eastAsia="仿宋_GB2312" w:hAnsi="宋体" w:cs="宋体" w:hint="eastAsia"/>
          <w:color w:val="000000"/>
          <w:kern w:val="0"/>
          <w:sz w:val="32"/>
          <w:szCs w:val="32"/>
        </w:rPr>
        <w:t>两个阶段进行：一是在论文评阅前，由学院组织开展检测，检测结果合格者，可进入学位论文评阅阶段；二是在论文答辩结束后、校学位评定委员会会议召开之前，由研究生院组织开展检测，检测结果合格者，可提交校学位评定委员会会议审议、表决授予相应的学位。</w:t>
      </w:r>
    </w:p>
    <w:p w14:paraId="266577D0"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（三）文本复制比检测结果认定</w:t>
      </w:r>
    </w:p>
    <w:p w14:paraId="1DB22847"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根据文本复制检测报告单中的重合字数比例（去除本人已发表文献复制比）的高低，作如下处理：</w:t>
      </w:r>
    </w:p>
    <w:p w14:paraId="56BFEAB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1.重合字数比例低于论文总字数的20%，所引用的内容均标明出处，检测结果可认定为合格。</w:t>
      </w:r>
    </w:p>
    <w:p w14:paraId="1B9CF7F4"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2.重合字数比例等于或超过论文总字数的20%，论文应做修改，至少半年后再按学校有关程序重新申请学位。</w:t>
      </w:r>
    </w:p>
    <w:p w14:paraId="6FE11452"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3.对古典文献、历史文献学等特殊学科专业的学位论文，重合字数比例可由所在学院学位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委员会（或跨学院一级学科指导委员会）研究确定后报研究生院备案。</w:t>
      </w:r>
    </w:p>
    <w:p w14:paraId="28D56EF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三、学位论文评阅</w:t>
      </w:r>
    </w:p>
    <w:p w14:paraId="1F0F1090"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（一）申请博士、硕士学位的论文必须经校外同行专家（指导教师除外）评阅。</w:t>
      </w:r>
    </w:p>
    <w:p w14:paraId="1FFB307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lastRenderedPageBreak/>
        <w:t>（二）申请学位者应在规定时间内提交有关材料参加当次学位论文评阅。博士学位申请者须提交《福建师范大学博士学位论文自评表》，与博士学位论文一同提供给评阅专家。</w:t>
      </w:r>
    </w:p>
    <w:p w14:paraId="027E2783"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（三）评阅工作由研究生院和各学院组织进行，具体安排如下：</w:t>
      </w:r>
    </w:p>
    <w:p w14:paraId="3CBE728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1.以下对象的学位论文由研究生院采取“双盲”评阅方式送3位校外同行专家评阅：</w:t>
      </w:r>
    </w:p>
    <w:p w14:paraId="713B954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①</w:t>
      </w:r>
      <w:r w:rsidRPr="00811975">
        <w:rPr>
          <w:rFonts w:ascii="仿宋_GB2312" w:eastAsia="仿宋_GB2312" w:hAnsi="Microsoft Yahei" w:cs="宋体" w:hint="eastAsia"/>
          <w:color w:val="000000"/>
          <w:kern w:val="0"/>
          <w:sz w:val="32"/>
          <w:szCs w:val="32"/>
        </w:rPr>
        <w:t>申请博士学位者;</w:t>
      </w:r>
    </w:p>
    <w:p w14:paraId="15D9E004"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②</w:t>
      </w:r>
      <w:r w:rsidRPr="00811975">
        <w:rPr>
          <w:rFonts w:ascii="仿宋_GB2312" w:eastAsia="仿宋_GB2312" w:hAnsi="Microsoft Yahei" w:cs="宋体" w:hint="eastAsia"/>
          <w:color w:val="000000"/>
          <w:kern w:val="0"/>
          <w:sz w:val="32"/>
          <w:szCs w:val="32"/>
        </w:rPr>
        <w:t>导师指导的首届毕业硕士研究生;</w:t>
      </w:r>
    </w:p>
    <w:p w14:paraId="6273C79A"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③</w:t>
      </w:r>
      <w:r w:rsidRPr="00811975">
        <w:rPr>
          <w:rFonts w:ascii="仿宋_GB2312" w:eastAsia="仿宋_GB2312" w:hAnsi="Microsoft Yahei" w:cs="宋体" w:hint="eastAsia"/>
          <w:color w:val="000000"/>
          <w:kern w:val="0"/>
          <w:sz w:val="32"/>
          <w:szCs w:val="32"/>
        </w:rPr>
        <w:t>申请提前毕业的硕士研究生;</w:t>
      </w:r>
    </w:p>
    <w:p w14:paraId="0EBD4A1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④</w:t>
      </w:r>
      <w:r w:rsidRPr="00811975">
        <w:rPr>
          <w:rFonts w:ascii="仿宋_GB2312" w:eastAsia="仿宋_GB2312" w:hAnsi="Microsoft Yahei" w:cs="宋体" w:hint="eastAsia"/>
          <w:color w:val="000000"/>
          <w:kern w:val="0"/>
          <w:sz w:val="32"/>
          <w:szCs w:val="32"/>
        </w:rPr>
        <w:t>非全日制硕士研究生;</w:t>
      </w:r>
    </w:p>
    <w:p w14:paraId="0ED04AD2"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⑤</w:t>
      </w:r>
      <w:r w:rsidRPr="00811975">
        <w:rPr>
          <w:rFonts w:ascii="仿宋_GB2312" w:eastAsia="仿宋_GB2312" w:hAnsi="Microsoft Yahei" w:cs="宋体" w:hint="eastAsia"/>
          <w:color w:val="000000"/>
          <w:kern w:val="0"/>
          <w:sz w:val="32"/>
          <w:szCs w:val="32"/>
        </w:rPr>
        <w:t>被认定构成学术不端行为的；</w:t>
      </w:r>
    </w:p>
    <w:p w14:paraId="67D3146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⑥</w:t>
      </w:r>
      <w:r w:rsidRPr="00811975">
        <w:rPr>
          <w:rFonts w:ascii="仿宋_GB2312" w:eastAsia="仿宋_GB2312" w:hAnsi="Microsoft Yahei" w:cs="宋体" w:hint="eastAsia"/>
          <w:color w:val="000000"/>
          <w:kern w:val="0"/>
          <w:sz w:val="32"/>
          <w:szCs w:val="32"/>
        </w:rPr>
        <w:t>各硕士专业（领域）30%研究生（抽查篇数采取“四舍五入”方式计算，至少抽查1篇）;</w:t>
      </w:r>
    </w:p>
    <w:p w14:paraId="27C3BE5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⑦</w:t>
      </w:r>
      <w:r w:rsidRPr="00811975">
        <w:rPr>
          <w:rFonts w:ascii="仿宋_GB2312" w:eastAsia="仿宋_GB2312" w:hAnsi="Microsoft Yahei" w:cs="宋体" w:hint="eastAsia"/>
          <w:color w:val="000000"/>
          <w:kern w:val="0"/>
          <w:sz w:val="32"/>
          <w:szCs w:val="32"/>
        </w:rPr>
        <w:t>上次论文评阅结论不合格的;</w:t>
      </w:r>
    </w:p>
    <w:p w14:paraId="1B6AE00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⑧</w:t>
      </w:r>
      <w:r w:rsidRPr="00811975">
        <w:rPr>
          <w:rFonts w:ascii="仿宋_GB2312" w:eastAsia="仿宋_GB2312" w:hAnsi="Microsoft Yahei" w:cs="宋体" w:hint="eastAsia"/>
          <w:color w:val="000000"/>
          <w:kern w:val="0"/>
          <w:sz w:val="32"/>
          <w:szCs w:val="32"/>
        </w:rPr>
        <w:t>其它应当“双盲”送审的。</w:t>
      </w:r>
    </w:p>
    <w:p w14:paraId="6E21827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2.除上述对象之外的硕士学位论文由学院送3位校外同行专家评阅。</w:t>
      </w:r>
    </w:p>
    <w:p w14:paraId="1697478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lastRenderedPageBreak/>
        <w:t>（四）评阅意见认定</w:t>
      </w:r>
    </w:p>
    <w:p w14:paraId="44A0E622"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在学位论文评阅人的学术评阅意见中设有A、B、C、D</w:t>
      </w:r>
      <w:r w:rsidRPr="00811975">
        <w:rPr>
          <w:rFonts w:ascii="仿宋_GB2312" w:eastAsia="仿宋_GB2312" w:hAnsi="宋体" w:cs="宋体" w:hint="eastAsia"/>
          <w:color w:val="000000"/>
          <w:kern w:val="0"/>
          <w:sz w:val="32"/>
          <w:szCs w:val="32"/>
        </w:rPr>
        <w:t>共</w:t>
      </w:r>
      <w:r w:rsidRPr="00811975">
        <w:rPr>
          <w:rFonts w:ascii="仿宋_GB2312" w:eastAsia="仿宋_GB2312" w:hAnsi="Microsoft Yahei" w:cs="宋体" w:hint="eastAsia"/>
          <w:color w:val="000000"/>
          <w:kern w:val="0"/>
          <w:sz w:val="32"/>
          <w:szCs w:val="32"/>
        </w:rPr>
        <w:t>4项评阅结论，具体为：</w:t>
      </w:r>
    </w:p>
    <w:p w14:paraId="6BA96E2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A.同意参加论文答辩;</w:t>
      </w:r>
    </w:p>
    <w:p w14:paraId="5DF2E8A3"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B.建议修改后参加论文答辩;</w:t>
      </w:r>
    </w:p>
    <w:p w14:paraId="4AD3B0C5"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C.论文须进行较大修改，不宜参加当次论文答辩;</w:t>
      </w:r>
    </w:p>
    <w:p w14:paraId="36316390"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D.该论文未达到规定的要求和水平，不同意参加论文答辩。</w:t>
      </w:r>
    </w:p>
    <w:p w14:paraId="1FC557A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评阅意见认定办法如下：</w:t>
      </w:r>
    </w:p>
    <w:p w14:paraId="70C0F21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bookmarkStart w:id="2" w:name="OLE_LINK7"/>
      <w:bookmarkEnd w:id="2"/>
      <w:r w:rsidRPr="00811975">
        <w:rPr>
          <w:rFonts w:ascii="仿宋_GB2312" w:eastAsia="仿宋_GB2312" w:hAnsi="Microsoft Yahei" w:cs="宋体" w:hint="eastAsia"/>
          <w:color w:val="000000"/>
          <w:kern w:val="0"/>
          <w:sz w:val="32"/>
          <w:szCs w:val="32"/>
        </w:rPr>
        <w:t>1.评阅结论为</w:t>
      </w:r>
      <w:r w:rsidRPr="00811975">
        <w:rPr>
          <w:rFonts w:ascii="仿宋_GB2312" w:eastAsia="仿宋_GB2312" w:hAnsi="Microsoft Yahei" w:cs="宋体" w:hint="eastAsia"/>
          <w:color w:val="000000"/>
          <w:kern w:val="0"/>
          <w:sz w:val="32"/>
          <w:szCs w:val="32"/>
          <w:u w:val="single"/>
        </w:rPr>
        <w:t>3A</w:t>
      </w:r>
      <w:r w:rsidRPr="00811975">
        <w:rPr>
          <w:rFonts w:ascii="仿宋_GB2312" w:eastAsia="仿宋_GB2312" w:hAnsi="Microsoft Yahei" w:cs="宋体" w:hint="eastAsia"/>
          <w:color w:val="000000"/>
          <w:kern w:val="0"/>
          <w:sz w:val="32"/>
          <w:szCs w:val="32"/>
        </w:rPr>
        <w:t>者，须结合专家的评阅意见对论文进行修改后方可参加当次论文答辩。</w:t>
      </w:r>
    </w:p>
    <w:p w14:paraId="35154F2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2.评阅结论为</w:t>
      </w:r>
      <w:r w:rsidRPr="00811975">
        <w:rPr>
          <w:rFonts w:ascii="仿宋_GB2312" w:eastAsia="仿宋_GB2312" w:hAnsi="Microsoft Yahei" w:cs="宋体" w:hint="eastAsia"/>
          <w:color w:val="000000"/>
          <w:kern w:val="0"/>
          <w:sz w:val="32"/>
          <w:szCs w:val="32"/>
          <w:u w:val="single"/>
        </w:rPr>
        <w:t>2A1B</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1A2B</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3B</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2A1C</w:t>
      </w:r>
      <w:r w:rsidRPr="00811975">
        <w:rPr>
          <w:rFonts w:ascii="仿宋_GB2312" w:eastAsia="仿宋_GB2312" w:hAnsi="Microsoft Yahei" w:cs="宋体" w:hint="eastAsia"/>
          <w:color w:val="000000"/>
          <w:kern w:val="0"/>
          <w:sz w:val="32"/>
          <w:szCs w:val="32"/>
        </w:rPr>
        <w:t>者，须按专家的评阅意见对论文进行修改，并由学院组织同行专家对修改后的论文进行评估和认定，认定符合答辩要求的，可参加当次论文答辩。</w:t>
      </w:r>
    </w:p>
    <w:p w14:paraId="0D8B48F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3.评阅结论为</w:t>
      </w:r>
      <w:r w:rsidRPr="00811975">
        <w:rPr>
          <w:rFonts w:ascii="仿宋_GB2312" w:eastAsia="仿宋_GB2312" w:hAnsi="Microsoft Yahei" w:cs="宋体" w:hint="eastAsia"/>
          <w:color w:val="000000"/>
          <w:kern w:val="0"/>
          <w:sz w:val="32"/>
          <w:szCs w:val="32"/>
          <w:u w:val="single"/>
        </w:rPr>
        <w:t>1A1B1C</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1A1B1D</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2B1C</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2B1D</w:t>
      </w:r>
      <w:r w:rsidRPr="00811975">
        <w:rPr>
          <w:rFonts w:ascii="仿宋_GB2312" w:eastAsia="仿宋_GB2312" w:hAnsi="Microsoft Yahei" w:cs="宋体" w:hint="eastAsia"/>
          <w:color w:val="000000"/>
          <w:kern w:val="0"/>
          <w:sz w:val="32"/>
          <w:szCs w:val="32"/>
        </w:rPr>
        <w:t>或</w:t>
      </w:r>
      <w:r w:rsidRPr="00811975">
        <w:rPr>
          <w:rFonts w:ascii="仿宋_GB2312" w:eastAsia="仿宋_GB2312" w:hAnsi="Microsoft Yahei" w:cs="宋体" w:hint="eastAsia"/>
          <w:color w:val="000000"/>
          <w:kern w:val="0"/>
          <w:sz w:val="32"/>
          <w:szCs w:val="32"/>
          <w:u w:val="single"/>
        </w:rPr>
        <w:t>2A1D</w:t>
      </w:r>
      <w:r w:rsidRPr="00811975">
        <w:rPr>
          <w:rFonts w:ascii="仿宋_GB2312" w:eastAsia="仿宋_GB2312" w:hAnsi="Microsoft Yahei" w:cs="宋体" w:hint="eastAsia"/>
          <w:color w:val="000000"/>
          <w:kern w:val="0"/>
          <w:sz w:val="32"/>
          <w:szCs w:val="32"/>
        </w:rPr>
        <w:t>者，须将论文再送两位专家评审，若两个评阅意见未出现</w:t>
      </w:r>
      <w:r w:rsidRPr="00811975">
        <w:rPr>
          <w:rFonts w:ascii="仿宋_GB2312" w:eastAsia="仿宋_GB2312" w:hAnsi="Microsoft Yahei" w:cs="宋体" w:hint="eastAsia"/>
          <w:color w:val="000000"/>
          <w:kern w:val="0"/>
          <w:sz w:val="32"/>
          <w:szCs w:val="32"/>
        </w:rPr>
        <w:t> </w:t>
      </w:r>
      <w:r w:rsidRPr="00811975">
        <w:rPr>
          <w:rFonts w:ascii="仿宋_GB2312" w:eastAsia="仿宋_GB2312" w:hAnsi="Microsoft Yahei" w:cs="宋体" w:hint="eastAsia"/>
          <w:color w:val="000000"/>
          <w:kern w:val="0"/>
          <w:sz w:val="32"/>
          <w:szCs w:val="32"/>
        </w:rPr>
        <w:t>C或D，须按专家的评阅意见对论文进行修改，并由学院组织同行专家对修改后的论文进行评估，经学院学位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委员会（跨学院一级学科指导委员会）认定符合答辩要求的，可参加当次论文答辩。</w:t>
      </w:r>
    </w:p>
    <w:p w14:paraId="337A05F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lastRenderedPageBreak/>
        <w:t>4.评阅结论为上述情况之外者，或学院认定不予答辩者，本次答辩申请无效，须按学校规定程序重新申请学位。</w:t>
      </w:r>
    </w:p>
    <w:p w14:paraId="6B449CD7"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5.如有1位评阅人认定参加评阅的论文存在抄袭、剽窃现象，学院学位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委员会（或跨学院一级学科指导委员会）应组织有关同行专家，对其抄袭、剽窃情节进行认定，并提出具体的处理意见。</w:t>
      </w:r>
    </w:p>
    <w:p w14:paraId="4241CD74"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四、学位论文答辩</w:t>
      </w:r>
    </w:p>
    <w:p w14:paraId="7173C3F6"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（一）学位论文评阅结论经认定符合答辩要求者，方可参加学位论文答辩。</w:t>
      </w:r>
    </w:p>
    <w:p w14:paraId="0131B8F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（二）论文答辩委员会组成</w:t>
      </w:r>
    </w:p>
    <w:p w14:paraId="6B92AF3A"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答辩委员会由学位点负责人负责组织。</w:t>
      </w:r>
    </w:p>
    <w:p w14:paraId="755944CC"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bookmarkStart w:id="3" w:name="OLE_LINK8"/>
      <w:bookmarkEnd w:id="3"/>
      <w:r w:rsidRPr="00811975">
        <w:rPr>
          <w:rFonts w:ascii="仿宋_GB2312" w:eastAsia="仿宋_GB2312" w:hAnsi="Microsoft Yahei" w:cs="宋体" w:hint="eastAsia"/>
          <w:color w:val="000000"/>
          <w:kern w:val="0"/>
          <w:sz w:val="32"/>
          <w:szCs w:val="32"/>
        </w:rPr>
        <w:t>1.博士学位论文答辩委员会至少由5位具有教授（或具有博</w:t>
      </w:r>
      <w:proofErr w:type="gramStart"/>
      <w:r w:rsidRPr="00811975">
        <w:rPr>
          <w:rFonts w:ascii="仿宋_GB2312" w:eastAsia="仿宋_GB2312" w:hAnsi="Microsoft Yahei" w:cs="宋体" w:hint="eastAsia"/>
          <w:color w:val="000000"/>
          <w:kern w:val="0"/>
          <w:sz w:val="32"/>
          <w:szCs w:val="32"/>
        </w:rPr>
        <w:t>导资格</w:t>
      </w:r>
      <w:proofErr w:type="gramEnd"/>
      <w:r w:rsidRPr="00811975">
        <w:rPr>
          <w:rFonts w:ascii="仿宋_GB2312" w:eastAsia="仿宋_GB2312" w:hAnsi="Microsoft Yahei" w:cs="宋体" w:hint="eastAsia"/>
          <w:color w:val="000000"/>
          <w:kern w:val="0"/>
          <w:sz w:val="32"/>
          <w:szCs w:val="32"/>
        </w:rPr>
        <w:t>的副教授）的同行专家组成，其中，博士生导师不少于二分之一，外校（非申请人所在单位）同行专家应为博士生导师且不少于2人。答辩委员会主席应由校外博士生导师担任。论文指导教师不担任答辩委员会成员，但可参加论文答辩会。</w:t>
      </w:r>
    </w:p>
    <w:p w14:paraId="7CB12DB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2.硕士学位论文答辩委员会至少由5位具有副教授以上职称（或相当专业技术职务）或具有博士学位的讲师组成，其中，研究生导师不少于3人，外校（非申请人所在单位）同行专家应为硕士生导师且</w:t>
      </w:r>
      <w:r w:rsidRPr="00811975">
        <w:rPr>
          <w:rFonts w:ascii="仿宋_GB2312" w:eastAsia="仿宋_GB2312" w:hAnsi="Microsoft Yahei" w:cs="宋体" w:hint="eastAsia"/>
          <w:color w:val="000000"/>
          <w:kern w:val="0"/>
          <w:sz w:val="32"/>
          <w:szCs w:val="32"/>
        </w:rPr>
        <w:lastRenderedPageBreak/>
        <w:t>不少于1人。答辩委员会主席应由具有教授或相当职称的专家担任。论文指导教师可参加答辩委员会，但不能担任主席。</w:t>
      </w:r>
    </w:p>
    <w:p w14:paraId="3434673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3.答辩委员会设秘书1人。其中，博士学位论文答辩委员会秘书须由具有副高及以上职称的教师担任；硕士学位论文答辩委员会秘书须由具有博士学位的教师或具有讲师及以上职称的教师担任。</w:t>
      </w:r>
    </w:p>
    <w:p w14:paraId="5969057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bookmarkStart w:id="4" w:name="OLE_LINK9"/>
      <w:bookmarkEnd w:id="4"/>
      <w:r w:rsidRPr="00811975">
        <w:rPr>
          <w:rFonts w:ascii="仿宋_GB2312" w:eastAsia="仿宋_GB2312" w:hAnsi="Microsoft Yahei" w:cs="宋体" w:hint="eastAsia"/>
          <w:color w:val="000000"/>
          <w:kern w:val="0"/>
          <w:sz w:val="32"/>
          <w:szCs w:val="32"/>
        </w:rPr>
        <w:t>4.各学院应至少提前3天将各学科专业的答辩委员会组成人员名单在学院网站公布并报送研究生院备案 。</w:t>
      </w:r>
    </w:p>
    <w:p w14:paraId="2D04A26B"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（三）论文答辩要求</w:t>
      </w:r>
    </w:p>
    <w:p w14:paraId="25D7AF13"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1.答辩工作应在学校规定时间内完成。答辩每年举行两次，一般于5月和11月，其它时间不安排答辩，不受理学位申请事宜。</w:t>
      </w:r>
    </w:p>
    <w:p w14:paraId="5E643B53"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2.除有保密要求外，答辩一般应公开举行。如论文涉及国防、军事或国家机密，或由于技术秘密等原因，需进行内部答辩的，按学位论文保密相关规定执行。</w:t>
      </w:r>
    </w:p>
    <w:p w14:paraId="4644CDAC"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3.答辩过程要有详细的记录。</w:t>
      </w:r>
    </w:p>
    <w:p w14:paraId="58931640"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4.在</w:t>
      </w:r>
      <w:proofErr w:type="gramStart"/>
      <w:r w:rsidRPr="00811975">
        <w:rPr>
          <w:rFonts w:ascii="仿宋_GB2312" w:eastAsia="仿宋_GB2312" w:hAnsi="Microsoft Yahei" w:cs="宋体" w:hint="eastAsia"/>
          <w:color w:val="000000"/>
          <w:kern w:val="0"/>
          <w:sz w:val="32"/>
          <w:szCs w:val="32"/>
        </w:rPr>
        <w:t>作出</w:t>
      </w:r>
      <w:proofErr w:type="gramEnd"/>
      <w:r w:rsidRPr="00811975">
        <w:rPr>
          <w:rFonts w:ascii="仿宋_GB2312" w:eastAsia="仿宋_GB2312" w:hAnsi="Microsoft Yahei" w:cs="宋体" w:hint="eastAsia"/>
          <w:color w:val="000000"/>
          <w:kern w:val="0"/>
          <w:sz w:val="32"/>
          <w:szCs w:val="32"/>
        </w:rPr>
        <w:t>是否通过答辩和是否建议授予学位的决议前，答辩委员会要以无记名投票方式票决，经全体成员三分之二以上同意，方可通过。决议经答辩委员会主席签名，报学院学位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委员会（或跨学院一级学科指导委员会）审核。</w:t>
      </w:r>
    </w:p>
    <w:p w14:paraId="1DC97C21"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lastRenderedPageBreak/>
        <w:t>5.答辩未通过者，或答辩通过但学院学位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委员会不建议授予学位者，在未超过学校规定学习年限情况下，论文应做修改，至少半年后再按学校有关程序重新申请学位。</w:t>
      </w:r>
    </w:p>
    <w:p w14:paraId="55ABC086"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（四）论文答辩程序</w:t>
      </w:r>
    </w:p>
    <w:p w14:paraId="3905B9E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论文答辩一般按以下程序进行：</w:t>
      </w:r>
    </w:p>
    <w:p w14:paraId="2BB9E255"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1.学院学位</w:t>
      </w:r>
      <w:proofErr w:type="gramStart"/>
      <w:r w:rsidRPr="00811975">
        <w:rPr>
          <w:rFonts w:ascii="仿宋_GB2312" w:eastAsia="仿宋_GB2312" w:hAnsi="Microsoft Yahei" w:cs="宋体" w:hint="eastAsia"/>
          <w:color w:val="000000"/>
          <w:kern w:val="0"/>
          <w:sz w:val="32"/>
          <w:szCs w:val="32"/>
        </w:rPr>
        <w:t>评定分</w:t>
      </w:r>
      <w:proofErr w:type="gramEnd"/>
      <w:r w:rsidRPr="00811975">
        <w:rPr>
          <w:rFonts w:ascii="仿宋_GB2312" w:eastAsia="仿宋_GB2312" w:hAnsi="Microsoft Yahei" w:cs="宋体" w:hint="eastAsia"/>
          <w:color w:val="000000"/>
          <w:kern w:val="0"/>
          <w:sz w:val="32"/>
          <w:szCs w:val="32"/>
        </w:rPr>
        <w:t>委员会（或跨学院一级学科指导委员会）代表介绍答辩委员会组成情况，宣布成员与答辩秘书名单，确认会议有效。</w:t>
      </w:r>
    </w:p>
    <w:p w14:paraId="152CA3A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2.答辩委员会主席主持答辩会，并宣布答辩会正式开始。</w:t>
      </w:r>
    </w:p>
    <w:p w14:paraId="6C902B04"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3.学位申请人宣读《学位论文原创性声明》并报告学位论文的主要内容。</w:t>
      </w:r>
    </w:p>
    <w:p w14:paraId="71CF2C5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4.答辩委员及其他人员针对学位论文的报告内容进行提问，答辩人回答问题。</w:t>
      </w:r>
    </w:p>
    <w:p w14:paraId="33E5EBF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5.答辩会休会。</w:t>
      </w:r>
    </w:p>
    <w:p w14:paraId="169B1AA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6.答辩会休会期间，答辩委员会举行会议，进行以下内容：</w:t>
      </w:r>
    </w:p>
    <w:p w14:paraId="575A7F63"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①</w:t>
      </w:r>
      <w:r w:rsidRPr="00811975">
        <w:rPr>
          <w:rFonts w:ascii="仿宋_GB2312" w:eastAsia="仿宋_GB2312" w:hAnsi="Microsoft Yahei" w:cs="宋体" w:hint="eastAsia"/>
          <w:color w:val="000000"/>
          <w:kern w:val="0"/>
          <w:sz w:val="32"/>
          <w:szCs w:val="32"/>
        </w:rPr>
        <w:t>审阅申请人基本情况、政治表现、学习成绩和学术活动等。</w:t>
      </w:r>
    </w:p>
    <w:p w14:paraId="45D5E96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②</w:t>
      </w:r>
      <w:r w:rsidRPr="00811975">
        <w:rPr>
          <w:rFonts w:ascii="仿宋_GB2312" w:eastAsia="仿宋_GB2312" w:hAnsi="Microsoft Yahei" w:cs="宋体" w:hint="eastAsia"/>
          <w:color w:val="000000"/>
          <w:kern w:val="0"/>
          <w:sz w:val="32"/>
          <w:szCs w:val="32"/>
        </w:rPr>
        <w:t>由秘书逐个宣读导师和论文评阅人的学术评阅意见。</w:t>
      </w:r>
    </w:p>
    <w:p w14:paraId="3A691374"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lastRenderedPageBreak/>
        <w:t> ③</w:t>
      </w:r>
      <w:r w:rsidRPr="00811975">
        <w:rPr>
          <w:rFonts w:ascii="仿宋_GB2312" w:eastAsia="仿宋_GB2312" w:hAnsi="Microsoft Yahei" w:cs="宋体" w:hint="eastAsia"/>
          <w:color w:val="000000"/>
          <w:kern w:val="0"/>
          <w:sz w:val="32"/>
          <w:szCs w:val="32"/>
        </w:rPr>
        <w:t>答辩委员逐个评议学位论文水平及答辩情况。</w:t>
      </w:r>
    </w:p>
    <w:p w14:paraId="6C1C1198"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④</w:t>
      </w:r>
      <w:r w:rsidRPr="00811975">
        <w:rPr>
          <w:rFonts w:ascii="仿宋_GB2312" w:eastAsia="仿宋_GB2312" w:hAnsi="Microsoft Yahei" w:cs="宋体" w:hint="eastAsia"/>
          <w:color w:val="000000"/>
          <w:kern w:val="0"/>
          <w:sz w:val="32"/>
          <w:szCs w:val="32"/>
        </w:rPr>
        <w:t>答辩委员讨论。</w:t>
      </w:r>
    </w:p>
    <w:p w14:paraId="0BDBE6DD"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⑤</w:t>
      </w:r>
      <w:r w:rsidRPr="00811975">
        <w:rPr>
          <w:rFonts w:ascii="仿宋_GB2312" w:eastAsia="仿宋_GB2312" w:hAnsi="Microsoft Yahei" w:cs="宋体" w:hint="eastAsia"/>
          <w:color w:val="000000"/>
          <w:kern w:val="0"/>
          <w:sz w:val="32"/>
          <w:szCs w:val="32"/>
        </w:rPr>
        <w:t>以无记名投票方式进行表决，通过决议书。</w:t>
      </w:r>
    </w:p>
    <w:p w14:paraId="0E345C78"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Microsoft Yahei" w:eastAsia="宋体" w:hAnsi="Microsoft Yahei" w:cs="宋体"/>
          <w:color w:val="000000"/>
          <w:kern w:val="0"/>
          <w:szCs w:val="21"/>
        </w:rPr>
        <w:t> ⑥</w:t>
      </w:r>
      <w:r w:rsidRPr="00811975">
        <w:rPr>
          <w:rFonts w:ascii="仿宋_GB2312" w:eastAsia="仿宋_GB2312" w:hAnsi="Microsoft Yahei" w:cs="宋体" w:hint="eastAsia"/>
          <w:color w:val="000000"/>
          <w:kern w:val="0"/>
          <w:sz w:val="32"/>
          <w:szCs w:val="32"/>
        </w:rPr>
        <w:t>答辩委员签署决议书。</w:t>
      </w:r>
    </w:p>
    <w:p w14:paraId="09CC1335"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7.答辩会复会，由主席宣读答辩委员会的决议。</w:t>
      </w:r>
    </w:p>
    <w:p w14:paraId="750980CA"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8.论文答辩结束。</w:t>
      </w:r>
    </w:p>
    <w:p w14:paraId="089EA97E"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（五）通过论文答辩后应提交的材料</w:t>
      </w:r>
    </w:p>
    <w:p w14:paraId="49D8EDA9"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32"/>
          <w:szCs w:val="32"/>
        </w:rPr>
        <w:t>申请学位者在通过论文答辩后，应在规定时间内提交有关授予学位材料和学位论文等。</w:t>
      </w:r>
    </w:p>
    <w:p w14:paraId="222250A7"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五、研究生学位论文评阅、答辩费用的开支标准、开支办法按学校有关规定执行。</w:t>
      </w:r>
    </w:p>
    <w:p w14:paraId="197CCB7F" w14:textId="77777777" w:rsidR="00811975" w:rsidRPr="00811975" w:rsidRDefault="00811975" w:rsidP="00811975">
      <w:pPr>
        <w:widowControl/>
        <w:spacing w:before="100" w:beforeAutospacing="1" w:line="605" w:lineRule="atLeast"/>
        <w:ind w:firstLine="634"/>
        <w:jc w:val="left"/>
        <w:rPr>
          <w:rFonts w:ascii="Microsoft Yahei" w:eastAsia="宋体" w:hAnsi="Microsoft Yahei" w:cs="宋体" w:hint="eastAsia"/>
          <w:color w:val="666666"/>
          <w:kern w:val="0"/>
          <w:szCs w:val="21"/>
        </w:rPr>
      </w:pPr>
      <w:r w:rsidRPr="00811975">
        <w:rPr>
          <w:rFonts w:ascii="黑体" w:eastAsia="黑体" w:hAnsi="黑体" w:cs="宋体" w:hint="eastAsia"/>
          <w:color w:val="000000"/>
          <w:kern w:val="0"/>
          <w:sz w:val="32"/>
          <w:szCs w:val="32"/>
        </w:rPr>
        <w:t>六、本规定自公布之日起实施，由研究生院负责解释。</w:t>
      </w:r>
      <w:r w:rsidRPr="00811975">
        <w:rPr>
          <w:rFonts w:ascii="仿宋_GB2312" w:eastAsia="仿宋_GB2312" w:hAnsi="宋体" w:cs="宋体" w:hint="eastAsia"/>
          <w:color w:val="000000"/>
          <w:kern w:val="0"/>
          <w:sz w:val="32"/>
          <w:szCs w:val="32"/>
        </w:rPr>
        <w:t>原《福建师范大学博士硕士学位论文答辩工作暂行规定（修订）》（闽师</w:t>
      </w:r>
      <w:proofErr w:type="gramStart"/>
      <w:r w:rsidRPr="00811975">
        <w:rPr>
          <w:rFonts w:ascii="仿宋_GB2312" w:eastAsia="仿宋_GB2312" w:hAnsi="宋体" w:cs="宋体" w:hint="eastAsia"/>
          <w:color w:val="000000"/>
          <w:kern w:val="0"/>
          <w:sz w:val="32"/>
          <w:szCs w:val="32"/>
        </w:rPr>
        <w:t>研</w:t>
      </w:r>
      <w:proofErr w:type="gramEnd"/>
      <w:r w:rsidRPr="00811975">
        <w:rPr>
          <w:rFonts w:ascii="仿宋_GB2312" w:eastAsia="仿宋_GB2312" w:hAnsi="宋体" w:cs="宋体" w:hint="eastAsia"/>
          <w:color w:val="000000"/>
          <w:kern w:val="0"/>
          <w:sz w:val="32"/>
          <w:szCs w:val="32"/>
        </w:rPr>
        <w:t>〔</w:t>
      </w:r>
      <w:r w:rsidRPr="00811975">
        <w:rPr>
          <w:rFonts w:ascii="仿宋_GB2312" w:eastAsia="仿宋_GB2312" w:hAnsi="Microsoft Yahei" w:cs="宋体" w:hint="eastAsia"/>
          <w:color w:val="000000"/>
          <w:kern w:val="0"/>
          <w:sz w:val="32"/>
          <w:szCs w:val="32"/>
        </w:rPr>
        <w:t>2017〕35</w:t>
      </w:r>
      <w:r w:rsidRPr="00811975">
        <w:rPr>
          <w:rFonts w:ascii="仿宋_GB2312" w:eastAsia="仿宋_GB2312" w:hAnsi="宋体" w:cs="宋体" w:hint="eastAsia"/>
          <w:color w:val="000000"/>
          <w:kern w:val="0"/>
          <w:sz w:val="32"/>
          <w:szCs w:val="32"/>
        </w:rPr>
        <w:t>号）同时废止。</w:t>
      </w:r>
    </w:p>
    <w:p w14:paraId="63977CC9"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459B06F5"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6766B9F8"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6AF95E8B"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7BACF992"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35EF58A4"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3A285622" w14:textId="77777777" w:rsidR="00811975" w:rsidRPr="00811975" w:rsidRDefault="00811975" w:rsidP="00811975">
      <w:pPr>
        <w:widowControl/>
        <w:spacing w:before="100" w:beforeAutospacing="1" w:line="605" w:lineRule="atLeast"/>
        <w:jc w:val="left"/>
        <w:rPr>
          <w:rFonts w:ascii="Microsoft Yahei" w:eastAsia="宋体" w:hAnsi="Microsoft Yahei" w:cs="宋体" w:hint="eastAsia"/>
          <w:color w:val="666666"/>
          <w:kern w:val="0"/>
          <w:szCs w:val="21"/>
        </w:rPr>
      </w:pPr>
    </w:p>
    <w:p w14:paraId="387D25ED" w14:textId="77777777" w:rsidR="00811975" w:rsidRPr="00811975" w:rsidRDefault="00811975" w:rsidP="00811975">
      <w:pPr>
        <w:widowControl/>
        <w:spacing w:before="100" w:beforeAutospacing="1" w:line="562" w:lineRule="atLeast"/>
        <w:jc w:val="left"/>
        <w:rPr>
          <w:rFonts w:ascii="Microsoft Yahei" w:eastAsia="宋体" w:hAnsi="Microsoft Yahei" w:cs="宋体" w:hint="eastAsia"/>
          <w:color w:val="666666"/>
          <w:kern w:val="0"/>
          <w:szCs w:val="21"/>
        </w:rPr>
      </w:pPr>
    </w:p>
    <w:p w14:paraId="3424CB31" w14:textId="77777777" w:rsidR="00811975" w:rsidRPr="00811975" w:rsidRDefault="00811975" w:rsidP="00811975">
      <w:pPr>
        <w:widowControl/>
        <w:spacing w:before="100" w:beforeAutospacing="1" w:line="806" w:lineRule="atLeast"/>
        <w:jc w:val="left"/>
        <w:rPr>
          <w:rFonts w:ascii="Microsoft Yahei" w:eastAsia="宋体" w:hAnsi="Microsoft Yahei" w:cs="宋体" w:hint="eastAsia"/>
          <w:color w:val="666666"/>
          <w:kern w:val="0"/>
          <w:szCs w:val="21"/>
        </w:rPr>
      </w:pPr>
    </w:p>
    <w:p w14:paraId="0293E554" w14:textId="77777777" w:rsidR="00811975" w:rsidRPr="00811975" w:rsidRDefault="00811975" w:rsidP="00811975">
      <w:pPr>
        <w:widowControl/>
        <w:spacing w:before="100" w:beforeAutospacing="1" w:line="806" w:lineRule="atLeast"/>
        <w:jc w:val="left"/>
        <w:rPr>
          <w:rFonts w:ascii="Microsoft Yahei" w:eastAsia="宋体" w:hAnsi="Microsoft Yahei" w:cs="宋体" w:hint="eastAsia"/>
          <w:color w:val="666666"/>
          <w:kern w:val="0"/>
          <w:szCs w:val="21"/>
        </w:rPr>
      </w:pPr>
    </w:p>
    <w:p w14:paraId="7ED188C6" w14:textId="77777777" w:rsidR="00811975" w:rsidRPr="00811975" w:rsidRDefault="00811975" w:rsidP="00811975">
      <w:pPr>
        <w:widowControl/>
        <w:pBdr>
          <w:top w:val="single" w:sz="6" w:space="1" w:color="auto"/>
          <w:bottom w:val="single" w:sz="6" w:space="1" w:color="auto"/>
        </w:pBdr>
        <w:spacing w:before="100" w:beforeAutospacing="1" w:line="576" w:lineRule="atLeast"/>
        <w:jc w:val="left"/>
        <w:rPr>
          <w:rFonts w:ascii="Microsoft Yahei" w:eastAsia="宋体" w:hAnsi="Microsoft Yahei" w:cs="宋体" w:hint="eastAsia"/>
          <w:color w:val="666666"/>
          <w:kern w:val="0"/>
          <w:szCs w:val="21"/>
        </w:rPr>
      </w:pPr>
      <w:r w:rsidRPr="00811975">
        <w:rPr>
          <w:rFonts w:ascii="仿宋_GB2312" w:eastAsia="仿宋_GB2312" w:hAnsi="Microsoft Yahei" w:cs="宋体" w:hint="eastAsia"/>
          <w:color w:val="000000"/>
          <w:kern w:val="0"/>
          <w:sz w:val="27"/>
          <w:szCs w:val="27"/>
        </w:rPr>
        <w:t xml:space="preserve">福建师范大学学校办公室 </w:t>
      </w:r>
      <w:r w:rsidRPr="00811975">
        <w:rPr>
          <w:rFonts w:ascii="仿宋_GB2312" w:eastAsia="仿宋_GB2312" w:hAnsi="Microsoft Yahei" w:cs="宋体" w:hint="eastAsia"/>
          <w:color w:val="000000"/>
          <w:kern w:val="0"/>
          <w:sz w:val="27"/>
          <w:szCs w:val="27"/>
        </w:rPr>
        <w:t>                  </w:t>
      </w:r>
      <w:r w:rsidRPr="00811975">
        <w:rPr>
          <w:rFonts w:ascii="仿宋_GB2312" w:eastAsia="仿宋_GB2312" w:hAnsi="Microsoft Yahei" w:cs="宋体" w:hint="eastAsia"/>
          <w:color w:val="000000"/>
          <w:kern w:val="0"/>
          <w:sz w:val="27"/>
          <w:szCs w:val="27"/>
        </w:rPr>
        <w:t>2020年1月17日印发</w:t>
      </w:r>
    </w:p>
    <w:p w14:paraId="62756A69" w14:textId="77777777" w:rsidR="009F3E9E" w:rsidRPr="00811975" w:rsidRDefault="009F3E9E"/>
    <w:sectPr w:rsidR="009F3E9E" w:rsidRPr="00811975" w:rsidSect="0081197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9FB8" w14:textId="77777777" w:rsidR="00735CFA" w:rsidRDefault="00735CFA" w:rsidP="00811975">
      <w:r>
        <w:separator/>
      </w:r>
    </w:p>
  </w:endnote>
  <w:endnote w:type="continuationSeparator" w:id="0">
    <w:p w14:paraId="2B0E3C32" w14:textId="77777777" w:rsidR="00735CFA" w:rsidRDefault="00735CFA" w:rsidP="0081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Cambria"/>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2F56" w14:textId="77777777" w:rsidR="00735CFA" w:rsidRDefault="00735CFA" w:rsidP="00811975">
      <w:r>
        <w:separator/>
      </w:r>
    </w:p>
  </w:footnote>
  <w:footnote w:type="continuationSeparator" w:id="0">
    <w:p w14:paraId="4705FE73" w14:textId="77777777" w:rsidR="00735CFA" w:rsidRDefault="00735CFA" w:rsidP="0081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18"/>
    <w:rsid w:val="00330AB1"/>
    <w:rsid w:val="0048107B"/>
    <w:rsid w:val="00735CFA"/>
    <w:rsid w:val="00774383"/>
    <w:rsid w:val="007F4718"/>
    <w:rsid w:val="00811975"/>
    <w:rsid w:val="00992160"/>
    <w:rsid w:val="009F3E9E"/>
    <w:rsid w:val="00FA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9EE6B-B53C-4836-A7F5-8B43841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74383"/>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743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743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1"/>
    <w:link w:val="a4"/>
    <w:autoRedefine/>
    <w:qFormat/>
    <w:rsid w:val="00774383"/>
    <w:pPr>
      <w:keepNext w:val="0"/>
      <w:keepLines w:val="0"/>
      <w:widowControl/>
      <w:snapToGrid w:val="0"/>
      <w:spacing w:beforeLines="100" w:before="100" w:afterLines="50" w:after="50" w:line="440" w:lineRule="atLeast"/>
      <w:jc w:val="left"/>
    </w:pPr>
    <w:rPr>
      <w:rFonts w:ascii="宋体" w:eastAsia="黑体" w:hAnsi="宋体" w:cs="宋体"/>
      <w:kern w:val="36"/>
      <w:sz w:val="28"/>
      <w:szCs w:val="24"/>
    </w:rPr>
  </w:style>
  <w:style w:type="character" w:customStyle="1" w:styleId="a4">
    <w:name w:val="一级标题 字符"/>
    <w:basedOn w:val="10"/>
    <w:link w:val="a3"/>
    <w:rsid w:val="00774383"/>
    <w:rPr>
      <w:rFonts w:ascii="宋体" w:eastAsia="黑体" w:hAnsi="宋体" w:cs="宋体"/>
      <w:b/>
      <w:bCs/>
      <w:kern w:val="36"/>
      <w:sz w:val="28"/>
      <w:szCs w:val="24"/>
    </w:rPr>
  </w:style>
  <w:style w:type="character" w:customStyle="1" w:styleId="10">
    <w:name w:val="标题 1 字符"/>
    <w:basedOn w:val="a0"/>
    <w:link w:val="1"/>
    <w:uiPriority w:val="9"/>
    <w:rsid w:val="00774383"/>
    <w:rPr>
      <w:b/>
      <w:bCs/>
      <w:kern w:val="44"/>
      <w:sz w:val="44"/>
      <w:szCs w:val="44"/>
    </w:rPr>
  </w:style>
  <w:style w:type="paragraph" w:customStyle="1" w:styleId="a5">
    <w:name w:val="二级标题"/>
    <w:basedOn w:val="2"/>
    <w:link w:val="a6"/>
    <w:autoRedefine/>
    <w:qFormat/>
    <w:rsid w:val="0048107B"/>
    <w:pPr>
      <w:spacing w:beforeLines="50" w:before="50" w:afterLines="50" w:after="50" w:line="440" w:lineRule="atLeast"/>
    </w:pPr>
    <w:rPr>
      <w:rFonts w:eastAsia="黑体"/>
      <w:sz w:val="24"/>
    </w:rPr>
  </w:style>
  <w:style w:type="character" w:customStyle="1" w:styleId="a6">
    <w:name w:val="二级标题 字符"/>
    <w:basedOn w:val="20"/>
    <w:link w:val="a5"/>
    <w:rsid w:val="0048107B"/>
    <w:rPr>
      <w:rFonts w:asciiTheme="majorHAnsi" w:eastAsia="黑体" w:hAnsiTheme="majorHAnsi" w:cstheme="majorBidi"/>
      <w:b/>
      <w:bCs/>
      <w:sz w:val="24"/>
      <w:szCs w:val="32"/>
    </w:rPr>
  </w:style>
  <w:style w:type="character" w:customStyle="1" w:styleId="20">
    <w:name w:val="标题 2 字符"/>
    <w:basedOn w:val="a0"/>
    <w:link w:val="2"/>
    <w:uiPriority w:val="9"/>
    <w:semiHidden/>
    <w:rsid w:val="00774383"/>
    <w:rPr>
      <w:rFonts w:asciiTheme="majorHAnsi" w:eastAsiaTheme="majorEastAsia" w:hAnsiTheme="majorHAnsi" w:cstheme="majorBidi"/>
      <w:b/>
      <w:bCs/>
      <w:sz w:val="32"/>
      <w:szCs w:val="32"/>
    </w:rPr>
  </w:style>
  <w:style w:type="paragraph" w:customStyle="1" w:styleId="a7">
    <w:name w:val="三级标题"/>
    <w:basedOn w:val="3"/>
    <w:link w:val="a8"/>
    <w:autoRedefine/>
    <w:qFormat/>
    <w:rsid w:val="00774383"/>
    <w:pPr>
      <w:widowControl/>
      <w:snapToGrid w:val="0"/>
      <w:spacing w:beforeLines="50" w:before="50" w:after="0" w:line="440" w:lineRule="atLeast"/>
      <w:ind w:firstLineChars="200" w:firstLine="200"/>
      <w:jc w:val="left"/>
    </w:pPr>
    <w:rPr>
      <w:rFonts w:eastAsia="黑体" w:cs="宋体"/>
      <w:b w:val="0"/>
      <w:kern w:val="0"/>
      <w:sz w:val="24"/>
    </w:rPr>
  </w:style>
  <w:style w:type="character" w:customStyle="1" w:styleId="a8">
    <w:name w:val="三级标题 字符"/>
    <w:basedOn w:val="30"/>
    <w:link w:val="a7"/>
    <w:rsid w:val="00774383"/>
    <w:rPr>
      <w:rFonts w:eastAsia="黑体" w:cs="宋体"/>
      <w:b w:val="0"/>
      <w:bCs/>
      <w:kern w:val="0"/>
      <w:sz w:val="24"/>
      <w:szCs w:val="32"/>
    </w:rPr>
  </w:style>
  <w:style w:type="character" w:customStyle="1" w:styleId="30">
    <w:name w:val="标题 3 字符"/>
    <w:basedOn w:val="a0"/>
    <w:link w:val="3"/>
    <w:uiPriority w:val="9"/>
    <w:semiHidden/>
    <w:rsid w:val="00774383"/>
    <w:rPr>
      <w:b/>
      <w:bCs/>
      <w:sz w:val="32"/>
      <w:szCs w:val="32"/>
    </w:rPr>
  </w:style>
  <w:style w:type="paragraph" w:customStyle="1" w:styleId="a9">
    <w:name w:val="四级标题"/>
    <w:basedOn w:val="a"/>
    <w:link w:val="aa"/>
    <w:autoRedefine/>
    <w:qFormat/>
    <w:rsid w:val="00330AB1"/>
    <w:pPr>
      <w:adjustRightInd w:val="0"/>
      <w:snapToGrid w:val="0"/>
      <w:spacing w:line="400" w:lineRule="atLeast"/>
      <w:ind w:firstLineChars="200" w:firstLine="420"/>
      <w:outlineLvl w:val="3"/>
    </w:pPr>
    <w:rPr>
      <w:sz w:val="24"/>
    </w:rPr>
  </w:style>
  <w:style w:type="character" w:customStyle="1" w:styleId="aa">
    <w:name w:val="四级标题 字符"/>
    <w:basedOn w:val="a0"/>
    <w:link w:val="a9"/>
    <w:rsid w:val="00330AB1"/>
    <w:rPr>
      <w:sz w:val="24"/>
    </w:rPr>
  </w:style>
  <w:style w:type="paragraph" w:styleId="ab">
    <w:name w:val="header"/>
    <w:basedOn w:val="a"/>
    <w:link w:val="ac"/>
    <w:uiPriority w:val="99"/>
    <w:unhideWhenUsed/>
    <w:rsid w:val="0081197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811975"/>
    <w:rPr>
      <w:sz w:val="18"/>
      <w:szCs w:val="18"/>
    </w:rPr>
  </w:style>
  <w:style w:type="paragraph" w:styleId="ad">
    <w:name w:val="footer"/>
    <w:basedOn w:val="a"/>
    <w:link w:val="ae"/>
    <w:uiPriority w:val="99"/>
    <w:unhideWhenUsed/>
    <w:rsid w:val="00811975"/>
    <w:pPr>
      <w:tabs>
        <w:tab w:val="center" w:pos="4153"/>
        <w:tab w:val="right" w:pos="8306"/>
      </w:tabs>
      <w:snapToGrid w:val="0"/>
      <w:jc w:val="left"/>
    </w:pPr>
    <w:rPr>
      <w:sz w:val="18"/>
      <w:szCs w:val="18"/>
    </w:rPr>
  </w:style>
  <w:style w:type="character" w:customStyle="1" w:styleId="ae">
    <w:name w:val="页脚 字符"/>
    <w:basedOn w:val="a0"/>
    <w:link w:val="ad"/>
    <w:uiPriority w:val="99"/>
    <w:rsid w:val="00811975"/>
    <w:rPr>
      <w:sz w:val="18"/>
      <w:szCs w:val="18"/>
    </w:rPr>
  </w:style>
  <w:style w:type="character" w:customStyle="1" w:styleId="articletitle">
    <w:name w:val="article_title"/>
    <w:basedOn w:val="a0"/>
    <w:rsid w:val="00811975"/>
  </w:style>
  <w:style w:type="character" w:customStyle="1" w:styleId="articlepublishdate">
    <w:name w:val="article_publishdate"/>
    <w:basedOn w:val="a0"/>
    <w:rsid w:val="00811975"/>
  </w:style>
  <w:style w:type="character" w:customStyle="1" w:styleId="wpvisitcount">
    <w:name w:val="wp_visitcount"/>
    <w:basedOn w:val="a0"/>
    <w:rsid w:val="00811975"/>
  </w:style>
  <w:style w:type="paragraph" w:styleId="af">
    <w:name w:val="Normal (Web)"/>
    <w:basedOn w:val="a"/>
    <w:uiPriority w:val="99"/>
    <w:semiHidden/>
    <w:unhideWhenUsed/>
    <w:rsid w:val="00811975"/>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8119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02807">
      <w:bodyDiv w:val="1"/>
      <w:marLeft w:val="0"/>
      <w:marRight w:val="0"/>
      <w:marTop w:val="0"/>
      <w:marBottom w:val="0"/>
      <w:divBdr>
        <w:top w:val="none" w:sz="0" w:space="0" w:color="auto"/>
        <w:left w:val="none" w:sz="0" w:space="0" w:color="auto"/>
        <w:bottom w:val="none" w:sz="0" w:space="0" w:color="auto"/>
        <w:right w:val="none" w:sz="0" w:space="0" w:color="auto"/>
      </w:divBdr>
      <w:divsChild>
        <w:div w:id="283998110">
          <w:marLeft w:val="0"/>
          <w:marRight w:val="0"/>
          <w:marTop w:val="0"/>
          <w:marBottom w:val="0"/>
          <w:divBdr>
            <w:top w:val="none" w:sz="0" w:space="0" w:color="auto"/>
            <w:left w:val="none" w:sz="0" w:space="0" w:color="auto"/>
            <w:bottom w:val="single" w:sz="6" w:space="0" w:color="CCCCCC"/>
            <w:right w:val="none" w:sz="0" w:space="0" w:color="auto"/>
          </w:divBdr>
        </w:div>
        <w:div w:id="600842897">
          <w:marLeft w:val="0"/>
          <w:marRight w:val="0"/>
          <w:marTop w:val="0"/>
          <w:marBottom w:val="600"/>
          <w:divBdr>
            <w:top w:val="none" w:sz="0" w:space="0" w:color="auto"/>
            <w:left w:val="none" w:sz="0" w:space="0" w:color="auto"/>
            <w:bottom w:val="none" w:sz="0" w:space="0" w:color="auto"/>
            <w:right w:val="none" w:sz="0" w:space="0" w:color="auto"/>
          </w:divBdr>
          <w:divsChild>
            <w:div w:id="1592007896">
              <w:marLeft w:val="0"/>
              <w:marRight w:val="0"/>
              <w:marTop w:val="0"/>
              <w:marBottom w:val="0"/>
              <w:divBdr>
                <w:top w:val="none" w:sz="0" w:space="0" w:color="auto"/>
                <w:left w:val="none" w:sz="0" w:space="0" w:color="auto"/>
                <w:bottom w:val="none" w:sz="0" w:space="0" w:color="auto"/>
                <w:right w:val="none" w:sz="0" w:space="0" w:color="auto"/>
              </w:divBdr>
              <w:divsChild>
                <w:div w:id="2037728060">
                  <w:marLeft w:val="0"/>
                  <w:marRight w:val="0"/>
                  <w:marTop w:val="0"/>
                  <w:marBottom w:val="0"/>
                  <w:divBdr>
                    <w:top w:val="none" w:sz="0" w:space="0" w:color="auto"/>
                    <w:left w:val="none" w:sz="0" w:space="0" w:color="auto"/>
                    <w:bottom w:val="none" w:sz="0" w:space="0" w:color="auto"/>
                    <w:right w:val="none" w:sz="0" w:space="0" w:color="auto"/>
                  </w:divBdr>
                  <w:divsChild>
                    <w:div w:id="389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王盛</dc:creator>
  <cp:keywords/>
  <dc:description/>
  <cp:lastModifiedBy>王盛</cp:lastModifiedBy>
  <cp:revision>3</cp:revision>
  <dcterms:created xsi:type="dcterms:W3CDTF">2021-08-06T03:11:00Z</dcterms:created>
  <dcterms:modified xsi:type="dcterms:W3CDTF">2021-10-01T09:14:00Z</dcterms:modified>
</cp:coreProperties>
</file>