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05C" w:rsidRDefault="002F6B08">
      <w:pPr>
        <w:tabs>
          <w:tab w:val="left" w:pos="2494"/>
        </w:tabs>
        <w:jc w:val="left"/>
      </w:pPr>
      <w:r>
        <w:rPr>
          <w:rFonts w:hint="eastAsia"/>
        </w:rPr>
        <w:t xml:space="preserve">   </w:t>
      </w:r>
    </w:p>
    <w:tbl>
      <w:tblPr>
        <w:tblW w:w="12450" w:type="dxa"/>
        <w:jc w:val="center"/>
        <w:tblLayout w:type="fixed"/>
        <w:tblCellMar>
          <w:left w:w="0" w:type="dxa"/>
          <w:right w:w="0" w:type="dxa"/>
        </w:tblCellMar>
        <w:tblLook w:val="04A0" w:firstRow="1" w:lastRow="0" w:firstColumn="1" w:lastColumn="0" w:noHBand="0" w:noVBand="1"/>
      </w:tblPr>
      <w:tblGrid>
        <w:gridCol w:w="12450"/>
      </w:tblGrid>
      <w:tr w:rsidR="0097505C">
        <w:trPr>
          <w:trHeight w:val="1200"/>
          <w:jc w:val="center"/>
        </w:trPr>
        <w:tc>
          <w:tcPr>
            <w:tcW w:w="12450" w:type="dxa"/>
            <w:shd w:val="clear" w:color="auto" w:fill="auto"/>
            <w:vAlign w:val="center"/>
          </w:tcPr>
          <w:p w:rsidR="0097505C" w:rsidRPr="00004736" w:rsidRDefault="002F6B08">
            <w:pPr>
              <w:widowControl/>
              <w:jc w:val="center"/>
              <w:rPr>
                <w:b/>
              </w:rPr>
            </w:pPr>
            <w:r w:rsidRPr="00004736">
              <w:rPr>
                <w:rFonts w:ascii="宋体" w:eastAsia="宋体" w:hAnsi="宋体" w:cs="宋体"/>
                <w:b/>
                <w:kern w:val="0"/>
                <w:sz w:val="40"/>
                <w:lang w:bidi="ar"/>
              </w:rPr>
              <w:t>关于开展研究生学位论文答辩前、后修改工作的通知</w:t>
            </w:r>
          </w:p>
        </w:tc>
      </w:tr>
    </w:tbl>
    <w:p w:rsidR="0097505C" w:rsidRDefault="0097505C">
      <w:pPr>
        <w:rPr>
          <w:vanish/>
          <w:sz w:val="24"/>
        </w:rPr>
      </w:pPr>
    </w:p>
    <w:tbl>
      <w:tblPr>
        <w:tblW w:w="12450" w:type="dxa"/>
        <w:tblLayout w:type="fixed"/>
        <w:tblCellMar>
          <w:left w:w="0" w:type="dxa"/>
          <w:right w:w="0" w:type="dxa"/>
        </w:tblCellMar>
        <w:tblLook w:val="04A0" w:firstRow="1" w:lastRow="0" w:firstColumn="1" w:lastColumn="0" w:noHBand="0" w:noVBand="1"/>
      </w:tblPr>
      <w:tblGrid>
        <w:gridCol w:w="6957"/>
        <w:gridCol w:w="5493"/>
      </w:tblGrid>
      <w:tr w:rsidR="0097505C">
        <w:trPr>
          <w:trHeight w:val="750"/>
        </w:trPr>
        <w:tc>
          <w:tcPr>
            <w:tcW w:w="6957" w:type="dxa"/>
            <w:shd w:val="clear" w:color="auto" w:fill="auto"/>
            <w:vAlign w:val="center"/>
          </w:tcPr>
          <w:p w:rsidR="0097505C" w:rsidRDefault="002F6B08">
            <w:pPr>
              <w:widowControl/>
              <w:jc w:val="center"/>
            </w:pPr>
            <w:r>
              <w:rPr>
                <w:rFonts w:ascii="宋体" w:eastAsia="宋体" w:hAnsi="宋体" w:cs="宋体"/>
                <w:kern w:val="0"/>
                <w:sz w:val="24"/>
                <w:lang w:bidi="ar"/>
              </w:rPr>
              <w:t>发布时间:2018-05-08</w:t>
            </w:r>
          </w:p>
        </w:tc>
        <w:tc>
          <w:tcPr>
            <w:tcW w:w="5493" w:type="dxa"/>
            <w:shd w:val="clear" w:color="auto" w:fill="auto"/>
            <w:vAlign w:val="center"/>
          </w:tcPr>
          <w:p w:rsidR="0097505C" w:rsidRDefault="0097505C">
            <w:pPr>
              <w:widowControl/>
              <w:jc w:val="center"/>
            </w:pPr>
          </w:p>
        </w:tc>
      </w:tr>
    </w:tbl>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color w:val="000000"/>
          <w:kern w:val="0"/>
          <w:sz w:val="30"/>
          <w:szCs w:val="30"/>
          <w:shd w:val="clear" w:color="auto" w:fill="FFFFFF"/>
          <w:lang w:bidi="ar"/>
        </w:rPr>
        <w:t>为加强我校研究生答辩过程管理，提升学位论文质量，建立良好的答辩</w:t>
      </w:r>
      <w:r>
        <w:rPr>
          <w:rFonts w:ascii="仿宋" w:eastAsia="仿宋" w:hAnsi="仿宋" w:cs="仿宋" w:hint="eastAsia"/>
          <w:color w:val="000000"/>
          <w:kern w:val="0"/>
          <w:sz w:val="30"/>
          <w:szCs w:val="30"/>
          <w:shd w:val="clear" w:color="auto" w:fill="FFFFFF"/>
          <w:lang w:bidi="ar"/>
        </w:rPr>
        <w:t>前、后论文完善反馈机制，根据国务院学位委员会、教育部《关于加强学位与研究生教育质量保证和监督体系建设的意见》（学位[2014]3号）要求，我校于2018年起增设学位论文答辩前、后修改环节，现将有关工作要求通知如下：</w:t>
      </w: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一、适用范围</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自2018年起申请我校硕士、博士学位人员。</w:t>
      </w: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二、时间安排</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（一）学位论文答辩前。</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（二）学位论文答辩后，学位</w:t>
      </w:r>
      <w:proofErr w:type="gramStart"/>
      <w:r>
        <w:rPr>
          <w:rFonts w:ascii="仿宋" w:eastAsia="仿宋" w:hAnsi="仿宋" w:cs="仿宋" w:hint="eastAsia"/>
          <w:color w:val="000000"/>
          <w:kern w:val="0"/>
          <w:sz w:val="30"/>
          <w:szCs w:val="30"/>
          <w:shd w:val="clear" w:color="auto" w:fill="FFFFFF"/>
          <w:lang w:bidi="ar"/>
        </w:rPr>
        <w:t>评定分</w:t>
      </w:r>
      <w:proofErr w:type="gramEnd"/>
      <w:r>
        <w:rPr>
          <w:rFonts w:ascii="仿宋" w:eastAsia="仿宋" w:hAnsi="仿宋" w:cs="仿宋" w:hint="eastAsia"/>
          <w:color w:val="000000"/>
          <w:kern w:val="0"/>
          <w:sz w:val="30"/>
          <w:szCs w:val="30"/>
          <w:shd w:val="clear" w:color="auto" w:fill="FFFFFF"/>
          <w:lang w:bidi="ar"/>
        </w:rPr>
        <w:t>委员会召开前。</w:t>
      </w: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三、答辩前、后修改流程</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（一）通过学位论文评阅的研究生，答辩前需填写《</w:t>
      </w:r>
      <w:bookmarkStart w:id="0" w:name="_GoBack"/>
      <w:r>
        <w:rPr>
          <w:rFonts w:ascii="仿宋" w:eastAsia="仿宋" w:hAnsi="仿宋" w:cs="仿宋" w:hint="eastAsia"/>
          <w:color w:val="000000"/>
          <w:kern w:val="0"/>
          <w:sz w:val="30"/>
          <w:szCs w:val="30"/>
          <w:shd w:val="clear" w:color="auto" w:fill="FFFFFF"/>
          <w:lang w:bidi="ar"/>
        </w:rPr>
        <w:t>福建师范大学研究生学位论文专家评阅意见落实及修改情况表</w:t>
      </w:r>
      <w:bookmarkEnd w:id="0"/>
      <w:r>
        <w:rPr>
          <w:rFonts w:ascii="仿宋" w:eastAsia="仿宋" w:hAnsi="仿宋" w:cs="仿宋" w:hint="eastAsia"/>
          <w:color w:val="000000"/>
          <w:kern w:val="0"/>
          <w:sz w:val="30"/>
          <w:szCs w:val="30"/>
          <w:shd w:val="clear" w:color="auto" w:fill="FFFFFF"/>
          <w:lang w:bidi="ar"/>
        </w:rPr>
        <w:t>》，并提交指导教师与学院</w:t>
      </w:r>
      <w:proofErr w:type="gramStart"/>
      <w:r>
        <w:rPr>
          <w:rFonts w:ascii="仿宋" w:eastAsia="仿宋" w:hAnsi="仿宋" w:cs="仿宋" w:hint="eastAsia"/>
          <w:color w:val="000000"/>
          <w:kern w:val="0"/>
          <w:sz w:val="30"/>
          <w:szCs w:val="30"/>
          <w:shd w:val="clear" w:color="auto" w:fill="FFFFFF"/>
          <w:lang w:bidi="ar"/>
        </w:rPr>
        <w:t>评定分</w:t>
      </w:r>
      <w:proofErr w:type="gramEnd"/>
      <w:r>
        <w:rPr>
          <w:rFonts w:ascii="仿宋" w:eastAsia="仿宋" w:hAnsi="仿宋" w:cs="仿宋" w:hint="eastAsia"/>
          <w:color w:val="000000"/>
          <w:kern w:val="0"/>
          <w:sz w:val="30"/>
          <w:szCs w:val="30"/>
          <w:shd w:val="clear" w:color="auto" w:fill="FFFFFF"/>
          <w:lang w:bidi="ar"/>
        </w:rPr>
        <w:t>委会审核认定，审核通过方可参加答辩。</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（二）通过答辩的研究生，应根据论文评阅专家和答辩委员会委员对原论文提出的意见和建议再次做出认真的修改，指导教师审核通过后，提交学位</w:t>
      </w:r>
      <w:proofErr w:type="gramStart"/>
      <w:r>
        <w:rPr>
          <w:rFonts w:ascii="仿宋" w:eastAsia="仿宋" w:hAnsi="仿宋" w:cs="仿宋" w:hint="eastAsia"/>
          <w:color w:val="000000"/>
          <w:kern w:val="0"/>
          <w:sz w:val="30"/>
          <w:szCs w:val="30"/>
          <w:shd w:val="clear" w:color="auto" w:fill="FFFFFF"/>
          <w:lang w:bidi="ar"/>
        </w:rPr>
        <w:t>评定分</w:t>
      </w:r>
      <w:proofErr w:type="gramEnd"/>
      <w:r>
        <w:rPr>
          <w:rFonts w:ascii="仿宋" w:eastAsia="仿宋" w:hAnsi="仿宋" w:cs="仿宋" w:hint="eastAsia"/>
          <w:color w:val="000000"/>
          <w:kern w:val="0"/>
          <w:sz w:val="30"/>
          <w:szCs w:val="30"/>
          <w:shd w:val="clear" w:color="auto" w:fill="FFFFFF"/>
          <w:lang w:bidi="ar"/>
        </w:rPr>
        <w:t>委会审议。</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lastRenderedPageBreak/>
        <w:t>（三）学位</w:t>
      </w:r>
      <w:proofErr w:type="gramStart"/>
      <w:r>
        <w:rPr>
          <w:rFonts w:ascii="仿宋" w:eastAsia="仿宋" w:hAnsi="仿宋" w:cs="仿宋" w:hint="eastAsia"/>
          <w:color w:val="000000"/>
          <w:kern w:val="0"/>
          <w:sz w:val="30"/>
          <w:szCs w:val="30"/>
          <w:shd w:val="clear" w:color="auto" w:fill="FFFFFF"/>
          <w:lang w:bidi="ar"/>
        </w:rPr>
        <w:t>评定分</w:t>
      </w:r>
      <w:proofErr w:type="gramEnd"/>
      <w:r>
        <w:rPr>
          <w:rFonts w:ascii="仿宋" w:eastAsia="仿宋" w:hAnsi="仿宋" w:cs="仿宋" w:hint="eastAsia"/>
          <w:color w:val="000000"/>
          <w:kern w:val="0"/>
          <w:sz w:val="30"/>
          <w:szCs w:val="30"/>
          <w:shd w:val="clear" w:color="auto" w:fill="FFFFFF"/>
          <w:lang w:bidi="ar"/>
        </w:rPr>
        <w:t>委会根据</w:t>
      </w:r>
      <w:r>
        <w:rPr>
          <w:rStyle w:val="a3"/>
          <w:rFonts w:ascii="仿宋" w:eastAsia="仿宋" w:hAnsi="仿宋" w:cs="仿宋" w:hint="eastAsia"/>
          <w:color w:val="000000"/>
          <w:kern w:val="0"/>
          <w:sz w:val="30"/>
          <w:szCs w:val="30"/>
          <w:shd w:val="clear" w:color="auto" w:fill="FFFFFF"/>
          <w:lang w:bidi="ar"/>
        </w:rPr>
        <w:t>论文评阅专家意见</w:t>
      </w:r>
      <w:r>
        <w:rPr>
          <w:rFonts w:ascii="仿宋" w:eastAsia="仿宋" w:hAnsi="仿宋" w:cs="仿宋" w:hint="eastAsia"/>
          <w:color w:val="000000"/>
          <w:kern w:val="0"/>
          <w:sz w:val="30"/>
          <w:szCs w:val="30"/>
          <w:shd w:val="clear" w:color="auto" w:fill="FFFFFF"/>
          <w:lang w:bidi="ar"/>
        </w:rPr>
        <w:t>、</w:t>
      </w:r>
      <w:r>
        <w:rPr>
          <w:rStyle w:val="a3"/>
          <w:rFonts w:ascii="仿宋" w:eastAsia="仿宋" w:hAnsi="仿宋" w:cs="仿宋" w:hint="eastAsia"/>
          <w:color w:val="000000"/>
          <w:kern w:val="0"/>
          <w:sz w:val="30"/>
          <w:szCs w:val="30"/>
          <w:shd w:val="clear" w:color="auto" w:fill="FFFFFF"/>
          <w:lang w:bidi="ar"/>
        </w:rPr>
        <w:t>《福建师范大学研究生学位论文专家评阅意见落实及修改情况表》</w:t>
      </w:r>
      <w:r>
        <w:rPr>
          <w:rFonts w:ascii="仿宋" w:eastAsia="仿宋" w:hAnsi="仿宋" w:cs="仿宋" w:hint="eastAsia"/>
          <w:color w:val="000000"/>
          <w:kern w:val="0"/>
          <w:sz w:val="30"/>
          <w:szCs w:val="30"/>
          <w:shd w:val="clear" w:color="auto" w:fill="FFFFFF"/>
          <w:lang w:bidi="ar"/>
        </w:rPr>
        <w:t>、</w:t>
      </w:r>
      <w:r>
        <w:rPr>
          <w:rStyle w:val="a3"/>
          <w:rFonts w:ascii="仿宋" w:eastAsia="仿宋" w:hAnsi="仿宋" w:cs="仿宋" w:hint="eastAsia"/>
          <w:color w:val="000000"/>
          <w:kern w:val="0"/>
          <w:sz w:val="30"/>
          <w:szCs w:val="30"/>
          <w:shd w:val="clear" w:color="auto" w:fill="FFFFFF"/>
          <w:lang w:bidi="ar"/>
        </w:rPr>
        <w:t>答辩委员会决议</w:t>
      </w:r>
      <w:r>
        <w:rPr>
          <w:rFonts w:ascii="仿宋" w:eastAsia="仿宋" w:hAnsi="仿宋" w:cs="仿宋" w:hint="eastAsia"/>
          <w:color w:val="000000"/>
          <w:kern w:val="0"/>
          <w:sz w:val="30"/>
          <w:szCs w:val="30"/>
          <w:shd w:val="clear" w:color="auto" w:fill="FFFFFF"/>
          <w:lang w:bidi="ar"/>
        </w:rPr>
        <w:t>和</w:t>
      </w:r>
      <w:r>
        <w:rPr>
          <w:rStyle w:val="a3"/>
          <w:rFonts w:ascii="仿宋" w:eastAsia="仿宋" w:hAnsi="仿宋" w:cs="仿宋" w:hint="eastAsia"/>
          <w:color w:val="000000"/>
          <w:kern w:val="0"/>
          <w:sz w:val="30"/>
          <w:szCs w:val="30"/>
          <w:shd w:val="clear" w:color="auto" w:fill="FFFFFF"/>
          <w:lang w:bidi="ar"/>
        </w:rPr>
        <w:t>答辩后修改情况（学位申请书中“论文答辩后修改情 况”）</w:t>
      </w:r>
      <w:r>
        <w:rPr>
          <w:rFonts w:ascii="仿宋" w:eastAsia="仿宋" w:hAnsi="仿宋" w:cs="仿宋" w:hint="eastAsia"/>
          <w:color w:val="000000"/>
          <w:kern w:val="0"/>
          <w:sz w:val="30"/>
          <w:szCs w:val="30"/>
          <w:shd w:val="clear" w:color="auto" w:fill="FFFFFF"/>
          <w:lang w:bidi="ar"/>
        </w:rPr>
        <w:t>，对申请人</w:t>
      </w:r>
      <w:proofErr w:type="gramStart"/>
      <w:r>
        <w:rPr>
          <w:rFonts w:ascii="仿宋" w:eastAsia="仿宋" w:hAnsi="仿宋" w:cs="仿宋" w:hint="eastAsia"/>
          <w:color w:val="000000"/>
          <w:kern w:val="0"/>
          <w:sz w:val="30"/>
          <w:szCs w:val="30"/>
          <w:shd w:val="clear" w:color="auto" w:fill="FFFFFF"/>
          <w:lang w:bidi="ar"/>
        </w:rPr>
        <w:t>作</w:t>
      </w:r>
      <w:proofErr w:type="gramEnd"/>
      <w:r>
        <w:rPr>
          <w:rFonts w:ascii="仿宋" w:eastAsia="仿宋" w:hAnsi="仿宋" w:cs="仿宋" w:hint="eastAsia"/>
          <w:color w:val="000000"/>
          <w:kern w:val="0"/>
          <w:sz w:val="30"/>
          <w:szCs w:val="30"/>
          <w:shd w:val="clear" w:color="auto" w:fill="FFFFFF"/>
          <w:lang w:bidi="ar"/>
        </w:rPr>
        <w:t>出是否授予学位的决议，对建议授予学位人员，提交校学位评定委员会审议。</w:t>
      </w:r>
    </w:p>
    <w:p w:rsidR="0097505C" w:rsidRDefault="002F6B08" w:rsidP="00FF591D">
      <w:pPr>
        <w:widowControl/>
        <w:shd w:val="clear" w:color="auto" w:fill="FFFFFF"/>
        <w:spacing w:line="315" w:lineRule="atLeast"/>
        <w:ind w:firstLine="42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四）《福建师范大学研究生学位论文专家评阅意见落实及修改情况表》至少一式三份，一份由各培养单位负责存档，其余两份存入研究生学位申请书中，存档期限为学位授予后三年，校学位评定委员会办公室负责抽查。</w:t>
      </w: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四、相关要求</w:t>
      </w:r>
    </w:p>
    <w:p w:rsidR="0097505C" w:rsidRDefault="002F6B08" w:rsidP="00FF591D">
      <w:pPr>
        <w:widowControl/>
        <w:shd w:val="clear" w:color="auto" w:fill="FFFFFF"/>
        <w:spacing w:line="315" w:lineRule="atLeast"/>
        <w:ind w:firstLine="60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(一）学位论文质量是研究生学位授予质量的重要体现，请各培养单位和研究生导师务必高度重视此项工作，强化质量意识，完善指导制度，加强学术规范，确保学位论文质量。</w:t>
      </w:r>
    </w:p>
    <w:p w:rsidR="0097505C" w:rsidRDefault="002F6B08" w:rsidP="00FF591D">
      <w:pPr>
        <w:widowControl/>
        <w:shd w:val="clear" w:color="auto" w:fill="FFFFFF"/>
        <w:spacing w:line="315" w:lineRule="atLeast"/>
        <w:ind w:firstLine="600"/>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（二）请各培养单位合理安排好学位授予各环节时间，确保本次学位授予工作顺利进行。</w:t>
      </w: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     联系人：王老师</w:t>
      </w: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     联系电话：22867438</w:t>
      </w:r>
    </w:p>
    <w:p w:rsidR="0097505C" w:rsidRDefault="0097505C" w:rsidP="00FF591D">
      <w:pPr>
        <w:widowControl/>
        <w:shd w:val="clear" w:color="auto" w:fill="FFFFFF"/>
        <w:spacing w:line="315" w:lineRule="atLeast"/>
        <w:jc w:val="left"/>
        <w:rPr>
          <w:rFonts w:ascii="微软雅黑" w:eastAsia="微软雅黑" w:hAnsi="微软雅黑" w:cs="微软雅黑"/>
          <w:color w:val="666666"/>
          <w:szCs w:val="21"/>
        </w:rPr>
      </w:pPr>
    </w:p>
    <w:p w:rsidR="0097505C" w:rsidRDefault="002F6B08" w:rsidP="00FF591D">
      <w:pPr>
        <w:widowControl/>
        <w:shd w:val="clear" w:color="auto" w:fill="FFFFFF"/>
        <w:spacing w:line="315" w:lineRule="atLeast"/>
        <w:jc w:val="left"/>
        <w:rPr>
          <w:rFonts w:ascii="微软雅黑" w:eastAsia="微软雅黑" w:hAnsi="微软雅黑" w:cs="微软雅黑"/>
          <w:color w:val="666666"/>
          <w:szCs w:val="21"/>
        </w:rPr>
      </w:pPr>
      <w:r>
        <w:rPr>
          <w:rFonts w:ascii="fangsong_gb2312" w:eastAsia="fangsong_gb2312" w:hAnsi="fangsong_gb2312" w:cs="fangsong_gb2312"/>
          <w:color w:val="000000"/>
          <w:kern w:val="0"/>
          <w:sz w:val="30"/>
          <w:szCs w:val="30"/>
          <w:shd w:val="clear" w:color="auto" w:fill="FFFFFF"/>
          <w:lang w:bidi="ar"/>
        </w:rPr>
        <w:t xml:space="preserve">  </w:t>
      </w:r>
      <w:r>
        <w:rPr>
          <w:rFonts w:ascii="仿宋" w:eastAsia="仿宋" w:hAnsi="仿宋" w:cs="仿宋" w:hint="eastAsia"/>
          <w:color w:val="000000"/>
          <w:kern w:val="0"/>
          <w:sz w:val="30"/>
          <w:szCs w:val="30"/>
          <w:shd w:val="clear" w:color="auto" w:fill="FFFFFF"/>
          <w:lang w:bidi="ar"/>
        </w:rPr>
        <w:t xml:space="preserve"> 福建师范大学研究生院</w:t>
      </w:r>
    </w:p>
    <w:p w:rsidR="0097505C" w:rsidRDefault="002F6B08" w:rsidP="00FF591D">
      <w:pPr>
        <w:widowControl/>
        <w:shd w:val="clear" w:color="auto" w:fill="FFFFFF"/>
        <w:spacing w:line="315" w:lineRule="atLeast"/>
        <w:jc w:val="center"/>
        <w:rPr>
          <w:rFonts w:ascii="微软雅黑" w:eastAsia="微软雅黑" w:hAnsi="微软雅黑" w:cs="微软雅黑"/>
          <w:color w:val="666666"/>
          <w:szCs w:val="21"/>
        </w:rPr>
      </w:pPr>
      <w:r>
        <w:rPr>
          <w:rFonts w:ascii="仿宋" w:eastAsia="仿宋" w:hAnsi="仿宋" w:cs="仿宋" w:hint="eastAsia"/>
          <w:color w:val="000000"/>
          <w:kern w:val="0"/>
          <w:sz w:val="30"/>
          <w:szCs w:val="30"/>
          <w:shd w:val="clear" w:color="auto" w:fill="FFFFFF"/>
          <w:lang w:bidi="ar"/>
        </w:rPr>
        <w:t>                       2018年5月8日</w:t>
      </w:r>
    </w:p>
    <w:p w:rsidR="0097505C" w:rsidRDefault="0097505C" w:rsidP="00FF591D">
      <w:pPr>
        <w:widowControl/>
        <w:jc w:val="left"/>
      </w:pPr>
    </w:p>
    <w:p w:rsidR="0097505C" w:rsidRDefault="002F6B08">
      <w:pPr>
        <w:tabs>
          <w:tab w:val="left" w:pos="2494"/>
        </w:tabs>
        <w:jc w:val="left"/>
        <w:rPr>
          <w:sz w:val="72"/>
          <w:szCs w:val="72"/>
        </w:rPr>
      </w:pPr>
      <w:r>
        <w:rPr>
          <w:rFonts w:hint="eastAsia"/>
        </w:rPr>
        <w:t xml:space="preserve">                       </w:t>
      </w:r>
    </w:p>
    <w:sectPr w:rsidR="009750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10C" w:rsidRDefault="002E110C" w:rsidP="008A3340">
      <w:r>
        <w:separator/>
      </w:r>
    </w:p>
  </w:endnote>
  <w:endnote w:type="continuationSeparator" w:id="0">
    <w:p w:rsidR="002E110C" w:rsidRDefault="002E110C" w:rsidP="008A3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fangsong_gb2312">
    <w:altName w:val="Segoe Print"/>
    <w:panose1 w:val="02010609060101010101"/>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10C" w:rsidRDefault="002E110C" w:rsidP="008A3340">
      <w:r>
        <w:separator/>
      </w:r>
    </w:p>
  </w:footnote>
  <w:footnote w:type="continuationSeparator" w:id="0">
    <w:p w:rsidR="002E110C" w:rsidRDefault="002E110C" w:rsidP="008A3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505C"/>
    <w:rsid w:val="00004736"/>
    <w:rsid w:val="002E110C"/>
    <w:rsid w:val="002F6B08"/>
    <w:rsid w:val="008A3340"/>
    <w:rsid w:val="0097505C"/>
    <w:rsid w:val="00FF591D"/>
    <w:rsid w:val="23591D07"/>
    <w:rsid w:val="2A461A54"/>
    <w:rsid w:val="6D2E01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73DAEB3-88F2-4E02-B18E-A1CC4528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rPr>
  </w:style>
  <w:style w:type="character" w:styleId="a4">
    <w:name w:val="Hyperlink"/>
    <w:basedOn w:val="a0"/>
    <w:rPr>
      <w:color w:val="0000FF"/>
      <w:u w:val="single"/>
    </w:rPr>
  </w:style>
  <w:style w:type="paragraph" w:styleId="a5">
    <w:name w:val="header"/>
    <w:basedOn w:val="a"/>
    <w:link w:val="a6"/>
    <w:rsid w:val="008A334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8A3340"/>
    <w:rPr>
      <w:rFonts w:asciiTheme="minorHAnsi" w:eastAsiaTheme="minorEastAsia" w:hAnsiTheme="minorHAnsi" w:cstheme="minorBidi"/>
      <w:kern w:val="2"/>
      <w:sz w:val="18"/>
      <w:szCs w:val="18"/>
    </w:rPr>
  </w:style>
  <w:style w:type="paragraph" w:styleId="a7">
    <w:name w:val="footer"/>
    <w:basedOn w:val="a"/>
    <w:link w:val="a8"/>
    <w:rsid w:val="008A3340"/>
    <w:pPr>
      <w:tabs>
        <w:tab w:val="center" w:pos="4153"/>
        <w:tab w:val="right" w:pos="8306"/>
      </w:tabs>
      <w:snapToGrid w:val="0"/>
      <w:jc w:val="left"/>
    </w:pPr>
    <w:rPr>
      <w:sz w:val="18"/>
      <w:szCs w:val="18"/>
    </w:rPr>
  </w:style>
  <w:style w:type="character" w:customStyle="1" w:styleId="a8">
    <w:name w:val="页脚 字符"/>
    <w:basedOn w:val="a0"/>
    <w:link w:val="a7"/>
    <w:rsid w:val="008A334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王盛</cp:lastModifiedBy>
  <cp:revision>3</cp:revision>
  <cp:lastPrinted>2019-05-11T00:52:00Z</cp:lastPrinted>
  <dcterms:created xsi:type="dcterms:W3CDTF">2014-10-29T12:08:00Z</dcterms:created>
  <dcterms:modified xsi:type="dcterms:W3CDTF">2021-10-01T09:12:00Z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